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614B" w14:textId="77777777" w:rsidR="00B03E47" w:rsidRPr="00B03E47" w:rsidRDefault="00A734A0" w:rsidP="004C3340">
      <w:pPr>
        <w:tabs>
          <w:tab w:val="center" w:pos="4641"/>
          <w:tab w:val="left" w:pos="7245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3E57">
        <w:rPr>
          <w:noProof/>
        </w:rPr>
        <w:drawing>
          <wp:anchor distT="0" distB="0" distL="114300" distR="114300" simplePos="0" relativeHeight="251661312" behindDoc="1" locked="0" layoutInCell="1" allowOverlap="1" wp14:anchorId="29B7DA7F" wp14:editId="0D45F7CE">
            <wp:simplePos x="0" y="0"/>
            <wp:positionH relativeFrom="column">
              <wp:posOffset>-923925</wp:posOffset>
            </wp:positionH>
            <wp:positionV relativeFrom="paragraph">
              <wp:posOffset>-601980</wp:posOffset>
            </wp:positionV>
            <wp:extent cx="7572375" cy="10629900"/>
            <wp:effectExtent l="0" t="0" r="9525" b="0"/>
            <wp:wrapNone/>
            <wp:docPr id="3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28"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  <w:t xml:space="preserve">                                             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>Република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>Србија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14:paraId="547D726E" w14:textId="77777777" w:rsidR="00B03E47" w:rsidRPr="00B03E47" w:rsidRDefault="00B03E47" w:rsidP="004C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E47">
        <w:rPr>
          <w:rFonts w:ascii="Times New Roman" w:eastAsia="Times New Roman" w:hAnsi="Times New Roman" w:cs="Times New Roman"/>
          <w:b/>
          <w:sz w:val="32"/>
          <w:szCs w:val="32"/>
        </w:rPr>
        <w:t>МИНИСТАРСТВО ФИНАНСИЈА</w:t>
      </w:r>
    </w:p>
    <w:p w14:paraId="6B9BCD49" w14:textId="77777777" w:rsidR="00B03E47" w:rsidRPr="00B03E47" w:rsidRDefault="00ED1D76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F23E57">
        <w:rPr>
          <w:noProof/>
        </w:rPr>
        <w:drawing>
          <wp:anchor distT="0" distB="0" distL="114300" distR="114300" simplePos="0" relativeHeight="251663360" behindDoc="0" locked="0" layoutInCell="1" allowOverlap="1" wp14:anchorId="5040601E" wp14:editId="50B44746">
            <wp:simplePos x="0" y="0"/>
            <wp:positionH relativeFrom="column">
              <wp:posOffset>2663825</wp:posOffset>
            </wp:positionH>
            <wp:positionV relativeFrom="paragraph">
              <wp:posOffset>274955</wp:posOffset>
            </wp:positionV>
            <wp:extent cx="560705" cy="914400"/>
            <wp:effectExtent l="0" t="0" r="0" b="0"/>
            <wp:wrapTopAndBottom/>
            <wp:docPr id="5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F55DD" w14:textId="77777777" w:rsidR="00B64A1F" w:rsidRDefault="00B64A1F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2DF24C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E47">
        <w:rPr>
          <w:rFonts w:ascii="Times New Roman" w:eastAsia="Times New Roman" w:hAnsi="Times New Roman" w:cs="Times New Roman"/>
          <w:b/>
          <w:sz w:val="32"/>
          <w:szCs w:val="32"/>
        </w:rPr>
        <w:t>УПРАВА ЗА ИГРЕ НА СРЕЋУ</w:t>
      </w:r>
    </w:p>
    <w:p w14:paraId="21B546D8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6BA269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427D19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C5F197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D1E899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D51F02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135902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4A6DED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6812E3" w14:textId="77777777" w:rsidR="00B03E47" w:rsidRP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3E47">
        <w:rPr>
          <w:rFonts w:ascii="Times New Roman" w:eastAsia="Times New Roman" w:hAnsi="Times New Roman" w:cs="Times New Roman"/>
          <w:b/>
          <w:sz w:val="36"/>
          <w:szCs w:val="36"/>
        </w:rPr>
        <w:t>ИНФОРМАТОР О РАДУ</w:t>
      </w:r>
    </w:p>
    <w:p w14:paraId="77A9569E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6CE888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216A13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EF0504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A02114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21BFB4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C42225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5EE9C3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3AD5A6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232C3A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648EA0" w14:textId="77777777" w:rsidR="00B03E47" w:rsidRPr="005E0B9F" w:rsidRDefault="00057B81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5E0B9F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новембар </w:t>
      </w:r>
      <w:r w:rsidR="00B03E47" w:rsidRPr="005E0B9F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B03E47" w:rsidRPr="005E0B9F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2</w:t>
      </w:r>
      <w:r w:rsidRPr="005E0B9F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1</w:t>
      </w:r>
      <w:r w:rsidR="00B03E47" w:rsidRPr="005E0B9F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  <w:r w:rsidR="00B03E47" w:rsidRPr="005E0B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03E47" w:rsidRPr="005E0B9F">
        <w:rPr>
          <w:rFonts w:ascii="Times New Roman" w:eastAsia="Times New Roman" w:hAnsi="Times New Roman" w:cs="Times New Roman"/>
          <w:b/>
          <w:i/>
          <w:sz w:val="24"/>
          <w:szCs w:val="24"/>
        </w:rPr>
        <w:t>годин</w:t>
      </w:r>
      <w:proofErr w:type="spellEnd"/>
      <w:r w:rsidRPr="005E0B9F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е</w:t>
      </w:r>
    </w:p>
    <w:p w14:paraId="01C07D00" w14:textId="77777777" w:rsidR="00B03E47" w:rsidRPr="00B03E47" w:rsidRDefault="00B03E47" w:rsidP="00B03E47">
      <w:pPr>
        <w:tabs>
          <w:tab w:val="center" w:pos="4680"/>
          <w:tab w:val="left" w:pos="5970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 е о г р а д</w:t>
      </w:r>
    </w:p>
    <w:p w14:paraId="5088198E" w14:textId="77777777" w:rsidR="00B03E47" w:rsidRP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92B0B" w14:textId="77777777" w:rsid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4EFEE" w14:textId="77777777" w:rsid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55A5F" w14:textId="77777777" w:rsidR="00B03E47" w:rsidRPr="00B03E47" w:rsidRDefault="00B03E47" w:rsidP="00B03E47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>САДРЖАЈ:</w:t>
      </w:r>
    </w:p>
    <w:p w14:paraId="1B18D158" w14:textId="77777777" w:rsidR="00B03E47" w:rsidRPr="00B03E47" w:rsidRDefault="00B03E47" w:rsidP="00B03E47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3E6ED" w14:textId="4AB15E82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" w:history="1">
        <w:r w:rsidR="00B03E47" w:rsidRPr="001865F1">
          <w:rPr>
            <w:rStyle w:val="Hyperlink"/>
            <w:rFonts w:ascii="Times New Roman" w:eastAsia="Times New Roman" w:hAnsi="Times New Roman" w:cs="Times New Roman"/>
          </w:rPr>
          <w:t>ОСНОВНИ ПОДАЦИ О УПРАВИ ЗА ИГРЕ НА СРЕЋУ И ИНФОРМАТОРУ</w:t>
        </w:r>
        <w:r w:rsidR="00FE67D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</w:t>
        </w:r>
        <w:r w:rsidR="00EC181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</w:t>
        </w:r>
      </w:hyperlink>
      <w:r w:rsidR="00FE67D2">
        <w:rPr>
          <w:rFonts w:ascii="Times New Roman" w:eastAsia="Times New Roman" w:hAnsi="Times New Roman" w:cs="Times New Roman"/>
          <w:lang w:val="sr-Cyrl-RS"/>
        </w:rPr>
        <w:t xml:space="preserve"> 3 </w:t>
      </w:r>
    </w:p>
    <w:p w14:paraId="565ED049" w14:textId="5FCF8EC8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2" w:history="1">
        <w:r w:rsidR="00B03E47" w:rsidRPr="001865F1">
          <w:rPr>
            <w:rStyle w:val="Hyperlink"/>
            <w:rFonts w:ascii="Times New Roman" w:eastAsia="Times New Roman" w:hAnsi="Times New Roman" w:cs="Times New Roman"/>
          </w:rPr>
          <w:t>ОРГАНИЗАЦИОНА СТРУКТУРА УПРАВЕ ЗА ИГРЕ НА СРЕЋУ</w:t>
        </w:r>
        <w:r w:rsidR="00FE67D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E67D2">
        <w:rPr>
          <w:rFonts w:ascii="Times New Roman" w:eastAsia="Times New Roman" w:hAnsi="Times New Roman" w:cs="Times New Roman"/>
          <w:lang w:val="sr-Cyrl-RS"/>
        </w:rPr>
        <w:t>4</w:t>
      </w:r>
    </w:p>
    <w:p w14:paraId="0E697795" w14:textId="274D29E1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3" w:history="1">
        <w:r w:rsidR="00B03E47" w:rsidRPr="001865F1">
          <w:rPr>
            <w:rStyle w:val="Hyperlink"/>
            <w:rFonts w:ascii="Times New Roman" w:eastAsia="Times New Roman" w:hAnsi="Times New Roman" w:cs="Times New Roman"/>
          </w:rPr>
          <w:t>ОПИС ФУНКЦИЈА СТАРЕШИН</w:t>
        </w:r>
        <w:r w:rsidR="0026550C" w:rsidRPr="001865F1">
          <w:rPr>
            <w:rStyle w:val="Hyperlink"/>
            <w:rFonts w:ascii="Times New Roman" w:eastAsia="Times New Roman" w:hAnsi="Times New Roman" w:cs="Times New Roman"/>
          </w:rPr>
          <w:t>A</w:t>
        </w:r>
        <w:r w:rsidR="00EC181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8</w:t>
      </w:r>
    </w:p>
    <w:p w14:paraId="7F1D5AA7" w14:textId="2BFF0535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4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ЈАВНОСТ РАДА МИНИСТАРСТВА ФИНАНСИЈА - УПРАВЕ ЗА ИГРЕ НА СРЕЋУ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9</w:t>
      </w:r>
    </w:p>
    <w:p w14:paraId="242BBC78" w14:textId="4606E808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5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ЧЛАНСТВО У МЕЂУНАРОДНИМ ОРГАНИЗАЦИЈАМА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</w:t>
        </w:r>
        <w:r w:rsidR="00C56D27" w:rsidRPr="003A58C7">
          <w:rPr>
            <w:rStyle w:val="Hyperlink"/>
            <w:rFonts w:ascii="Times New Roman" w:eastAsia="Times New Roman" w:hAnsi="Times New Roman" w:cs="Times New Roman"/>
            <w:lang w:val="sr-Latn-RS"/>
          </w:rPr>
          <w:t xml:space="preserve"> </w:t>
        </w:r>
      </w:hyperlink>
      <w:r w:rsidR="00C56D27">
        <w:rPr>
          <w:rFonts w:ascii="Times New Roman" w:eastAsia="Times New Roman" w:hAnsi="Times New Roman" w:cs="Times New Roman"/>
          <w:lang w:val="sr-Latn-RS"/>
        </w:rPr>
        <w:t xml:space="preserve"> 9</w:t>
      </w:r>
    </w:p>
    <w:p w14:paraId="3CEA0E8D" w14:textId="1F5CD6AC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6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НАЈЧЕШЋЕ ТРАЖЕНЕ ИНФОРМАЦИЈЕ ОД ЈАВНОГ ЗНАЧАЈА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10</w:t>
      </w:r>
    </w:p>
    <w:p w14:paraId="7A3D1195" w14:textId="57B8BCD1" w:rsidR="0026550C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7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ОПИС НАДЛЕЖНОСТИ, ОВЛАШЋЕЊА И ОБАВЕЗ</w:t>
        </w:r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А</w:t>
        </w:r>
        <w:r w:rsidR="00B03E47" w:rsidRPr="003A58C7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10 </w:t>
      </w:r>
    </w:p>
    <w:p w14:paraId="13D88395" w14:textId="4466AE3F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8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ОПИС ПОСТУПАЊА У ОКВИРУ НАДЛЕЖНОСТИ, ОВЛАШЋЕЊА И ОБАВЕЗА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11</w:t>
      </w:r>
    </w:p>
    <w:p w14:paraId="743CA7BE" w14:textId="70B6D634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9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НАВОЂЕЊЕ ПРОПИСА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 15</w:t>
      </w:r>
    </w:p>
    <w:p w14:paraId="55FC2234" w14:textId="44FE68BF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0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УСЛУГЕ КОЈЕ УПРАВА ЗА ИГРЕ НА СРЕЋУ ПРУЖА ЗАИНТЕРЕСОВАНИМ ЛИЦИМА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</w:t>
      </w:r>
      <w:r w:rsidR="00C56D27">
        <w:rPr>
          <w:rFonts w:ascii="Times New Roman" w:eastAsia="Times New Roman" w:hAnsi="Times New Roman" w:cs="Times New Roman"/>
          <w:lang w:val="sr-Latn-RS"/>
        </w:rPr>
        <w:t>7</w:t>
      </w:r>
    </w:p>
    <w:p w14:paraId="44B8FA3C" w14:textId="15F9AD25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1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ПОСТУПАК РАДИ ПРУЖАЊА УСЛУГА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</w:t>
      </w:r>
      <w:r w:rsidR="00C56D27">
        <w:rPr>
          <w:rFonts w:ascii="Times New Roman" w:eastAsia="Times New Roman" w:hAnsi="Times New Roman" w:cs="Times New Roman"/>
          <w:lang w:val="sr-Latn-RS"/>
        </w:rPr>
        <w:t>7</w:t>
      </w:r>
    </w:p>
    <w:p w14:paraId="0764A55E" w14:textId="505826BD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2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ПРЕГЛЕД ПОДАТАКА О ПРУЖЕНИМ УСЛУГАМА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</w:t>
      </w:r>
      <w:r w:rsidR="00C56D27">
        <w:rPr>
          <w:rFonts w:ascii="Times New Roman" w:eastAsia="Times New Roman" w:hAnsi="Times New Roman" w:cs="Times New Roman"/>
          <w:lang w:val="sr-Latn-RS"/>
        </w:rPr>
        <w:t>8</w:t>
      </w:r>
    </w:p>
    <w:p w14:paraId="3B28CB42" w14:textId="43E89CF3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3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ПРИХОДИМА И РАСХОДИМА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19</w:t>
      </w:r>
    </w:p>
    <w:p w14:paraId="270A8117" w14:textId="5AA0C2A9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4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ЈАВНИМ НАБАВКАМА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21</w:t>
      </w:r>
    </w:p>
    <w:p w14:paraId="5907083A" w14:textId="698EA4CF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5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ДРЖАВНОЈ ПОМОЋИ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             2</w:t>
      </w:r>
      <w:r w:rsidR="00C56D27">
        <w:rPr>
          <w:rFonts w:ascii="Times New Roman" w:eastAsia="Times New Roman" w:hAnsi="Times New Roman" w:cs="Times New Roman"/>
          <w:lang w:val="sr-Latn-RS"/>
        </w:rPr>
        <w:t>4</w:t>
      </w:r>
    </w:p>
    <w:p w14:paraId="00728CAD" w14:textId="5B25F3A1" w:rsidR="00EC1812" w:rsidRPr="003A58C7" w:rsidRDefault="003A58C7" w:rsidP="00B03E47">
      <w:pPr>
        <w:numPr>
          <w:ilvl w:val="0"/>
          <w:numId w:val="1"/>
        </w:numPr>
        <w:spacing w:before="240" w:after="60" w:line="360" w:lineRule="auto"/>
        <w:contextualSpacing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 \l "nasl_16"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B03E47" w:rsidRPr="003A58C7">
        <w:rPr>
          <w:rStyle w:val="Hyperlink"/>
          <w:rFonts w:ascii="Times New Roman" w:eastAsia="Times New Roman" w:hAnsi="Times New Roman" w:cs="Times New Roman"/>
        </w:rPr>
        <w:t xml:space="preserve">ПОДАЦИ О ИСПЛАЋЕНИМ ПЛАТАМА, </w:t>
      </w:r>
      <w:r w:rsidR="0026550C" w:rsidRPr="003A58C7">
        <w:rPr>
          <w:rStyle w:val="Hyperlink"/>
          <w:rFonts w:ascii="Times New Roman" w:eastAsia="Times New Roman" w:hAnsi="Times New Roman" w:cs="Times New Roman"/>
          <w:lang w:val="sr-Cyrl-RS"/>
        </w:rPr>
        <w:t>НАКНАДАМА</w:t>
      </w:r>
      <w:r w:rsidR="00B03E47" w:rsidRPr="003A58C7">
        <w:rPr>
          <w:rStyle w:val="Hyperlink"/>
          <w:rFonts w:ascii="Times New Roman" w:eastAsia="Times New Roman" w:hAnsi="Times New Roman" w:cs="Times New Roman"/>
        </w:rPr>
        <w:t xml:space="preserve"> </w:t>
      </w:r>
    </w:p>
    <w:p w14:paraId="7DD36DBC" w14:textId="5988BBF7" w:rsidR="00B03E47" w:rsidRPr="00FE67D2" w:rsidRDefault="00B03E47" w:rsidP="00EC1812">
      <w:pPr>
        <w:spacing w:before="240" w:after="60"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3A58C7">
        <w:rPr>
          <w:rStyle w:val="Hyperlink"/>
          <w:rFonts w:ascii="Times New Roman" w:eastAsia="Times New Roman" w:hAnsi="Times New Roman" w:cs="Times New Roman"/>
        </w:rPr>
        <w:t>И ДРУГИМ ПРИМАЊИМА</w:t>
      </w:r>
      <w:r w:rsidR="00EC1812" w:rsidRPr="003A58C7">
        <w:rPr>
          <w:rStyle w:val="Hyperlink"/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</w:t>
      </w:r>
      <w:r w:rsidR="003A58C7">
        <w:rPr>
          <w:rFonts w:ascii="Times New Roman" w:eastAsia="Times New Roman" w:hAnsi="Times New Roman" w:cs="Times New Roman"/>
        </w:rPr>
        <w:fldChar w:fldCharType="end"/>
      </w:r>
      <w:r w:rsidR="00EC1812">
        <w:rPr>
          <w:rFonts w:ascii="Times New Roman" w:eastAsia="Times New Roman" w:hAnsi="Times New Roman" w:cs="Times New Roman"/>
          <w:lang w:val="sr-Cyrl-RS"/>
        </w:rPr>
        <w:t xml:space="preserve"> 25</w:t>
      </w:r>
    </w:p>
    <w:p w14:paraId="3325CF3E" w14:textId="2142BC4B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7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СРЕДСТВИМА РАДА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27</w:t>
      </w:r>
    </w:p>
    <w:p w14:paraId="4C8C406F" w14:textId="6A4AB251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8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ЧУВАЊЕ НОСАЧА ИНФОРМАЦИЈА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847CF3">
        <w:rPr>
          <w:rFonts w:ascii="Times New Roman" w:eastAsia="Times New Roman" w:hAnsi="Times New Roman" w:cs="Times New Roman"/>
          <w:lang w:val="sr-Cyrl-RS"/>
        </w:rPr>
        <w:t>7</w:t>
      </w:r>
    </w:p>
    <w:p w14:paraId="3B90C408" w14:textId="5D487428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9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ВРСТЕ ИНФОРМАЦИЈА У ПОСЕДУ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28</w:t>
      </w:r>
    </w:p>
    <w:p w14:paraId="3BBD3B5A" w14:textId="5DAEBA44" w:rsidR="00B03E47" w:rsidRPr="00FE67D2" w:rsidRDefault="008812E0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20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ВРСТЕ ИНФОРМАЦИЈА КОЈИМА УПРАВА ЗА ИГРЕ НА СРЕЋУ ОМОГУЋАВА ПРИСТУП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C56D27">
        <w:rPr>
          <w:rFonts w:ascii="Times New Roman" w:eastAsia="Times New Roman" w:hAnsi="Times New Roman" w:cs="Times New Roman"/>
          <w:lang w:val="sr-Latn-RS"/>
        </w:rPr>
        <w:t>8</w:t>
      </w:r>
    </w:p>
    <w:p w14:paraId="7228CF07" w14:textId="168BBD90" w:rsidR="00EC1812" w:rsidRPr="0061253E" w:rsidRDefault="0061253E" w:rsidP="00B03E47">
      <w:pPr>
        <w:numPr>
          <w:ilvl w:val="0"/>
          <w:numId w:val="1"/>
        </w:numPr>
        <w:spacing w:before="240" w:after="60" w:line="360" w:lineRule="auto"/>
        <w:contextualSpacing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 \l "nasl_21"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B03E47" w:rsidRPr="0061253E">
        <w:rPr>
          <w:rStyle w:val="Hyperlink"/>
          <w:rFonts w:ascii="Times New Roman" w:eastAsia="Times New Roman" w:hAnsi="Times New Roman" w:cs="Times New Roman"/>
        </w:rPr>
        <w:t>ИНФОРМАЦИЈЕ</w:t>
      </w:r>
      <w:r w:rsidR="00B03E47" w:rsidRPr="0061253E">
        <w:rPr>
          <w:rStyle w:val="Hyperlink"/>
          <w:rFonts w:ascii="Times New Roman" w:eastAsia="Times New Roman" w:hAnsi="Times New Roman" w:cs="Times New Roman"/>
          <w:lang w:val="sr-Cyrl-RS"/>
        </w:rPr>
        <w:t xml:space="preserve"> </w:t>
      </w:r>
      <w:r w:rsidR="00B03E47" w:rsidRPr="0061253E">
        <w:rPr>
          <w:rStyle w:val="Hyperlink"/>
          <w:rFonts w:ascii="Times New Roman" w:eastAsia="Times New Roman" w:hAnsi="Times New Roman" w:cs="Times New Roman"/>
        </w:rPr>
        <w:t>О ПОДНОШЕЊУ ЗАХТЕВА ЗА ПРИСТУП ИНФОРМАЦИЈАМA</w:t>
      </w:r>
      <w:r w:rsidR="00B03E47" w:rsidRPr="0061253E">
        <w:rPr>
          <w:rStyle w:val="Hyperlink"/>
          <w:rFonts w:ascii="Times New Roman" w:eastAsia="Times New Roman" w:hAnsi="Times New Roman" w:cs="Times New Roman"/>
          <w:lang w:val="sr-Cyrl-RS"/>
        </w:rPr>
        <w:t xml:space="preserve"> </w:t>
      </w:r>
    </w:p>
    <w:p w14:paraId="659ABA5E" w14:textId="15BE84B6" w:rsidR="00B03E47" w:rsidRPr="00C56D27" w:rsidRDefault="00B03E47" w:rsidP="00EC1812">
      <w:pPr>
        <w:spacing w:before="240" w:after="60" w:line="360" w:lineRule="auto"/>
        <w:ind w:left="720"/>
        <w:contextualSpacing/>
        <w:rPr>
          <w:rFonts w:ascii="Times New Roman" w:eastAsia="Times New Roman" w:hAnsi="Times New Roman" w:cs="Times New Roman"/>
          <w:lang w:val="sr-Latn-RS"/>
        </w:rPr>
      </w:pPr>
      <w:r w:rsidRPr="0061253E">
        <w:rPr>
          <w:rStyle w:val="Hyperlink"/>
          <w:rFonts w:ascii="Times New Roman" w:eastAsia="Times New Roman" w:hAnsi="Times New Roman" w:cs="Times New Roman"/>
          <w:lang w:val="sr-Cyrl-RS"/>
        </w:rPr>
        <w:t>ОД ЈАВНОГ ЗНАЧАЈА</w:t>
      </w:r>
      <w:r w:rsidR="00EC1812" w:rsidRPr="0061253E">
        <w:rPr>
          <w:rStyle w:val="Hyperlink"/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</w:t>
      </w:r>
      <w:r w:rsidR="0061253E">
        <w:rPr>
          <w:rFonts w:ascii="Times New Roman" w:eastAsia="Times New Roman" w:hAnsi="Times New Roman" w:cs="Times New Roman"/>
        </w:rPr>
        <w:fldChar w:fldCharType="end"/>
      </w:r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C56D27">
        <w:rPr>
          <w:rFonts w:ascii="Times New Roman" w:eastAsia="Times New Roman" w:hAnsi="Times New Roman" w:cs="Times New Roman"/>
          <w:lang w:val="sr-Latn-RS"/>
        </w:rPr>
        <w:t>8</w:t>
      </w:r>
    </w:p>
    <w:p w14:paraId="7BEC9DB5" w14:textId="77777777" w:rsidR="00B03E47" w:rsidRPr="00B03E47" w:rsidRDefault="00B03E47" w:rsidP="00B03E47">
      <w:pPr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F6B28BB" w14:textId="77777777" w:rsidR="00B03E47" w:rsidRPr="00B03E47" w:rsidRDefault="00B03E47" w:rsidP="00B03E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nasl_1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ОСНОВНИ ПОДАЦИ О УПРАВИ ЗА ИГРЕ НА СРЕЋУ И ИНФОРМАТОРУ</w:t>
      </w:r>
    </w:p>
    <w:bookmarkEnd w:id="0"/>
    <w:p w14:paraId="0D067111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C5891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E7FC6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>НАЗИВ ОРГАНА:</w:t>
      </w:r>
    </w:p>
    <w:p w14:paraId="0188CB9D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ФИНАНСИЈА - УПРАВА ЗА ИГРЕ НА СРЕЋУ</w:t>
      </w:r>
    </w:p>
    <w:p w14:paraId="77F80319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BD7B7" w14:textId="206A1747" w:rsidR="00B03E47" w:rsidRPr="00B03E47" w:rsidRDefault="009D0256" w:rsidP="00B03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Седиште</w:t>
      </w:r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Oмладинских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бригада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Београд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75AF2945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Матични број: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17862146</w:t>
      </w:r>
    </w:p>
    <w:p w14:paraId="5BCF3932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Порески идентификациони број: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111309999</w:t>
      </w:r>
    </w:p>
    <w:p w14:paraId="37D22595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Email: </w:t>
      </w:r>
      <w:r w:rsidR="008812E0">
        <w:fldChar w:fldCharType="begin"/>
      </w:r>
      <w:r w:rsidR="008812E0">
        <w:instrText xml:space="preserve"> HYPERLINK "mailto:igre.na.srecu@uis.gov.rs" </w:instrText>
      </w:r>
      <w:r w:rsidR="008812E0">
        <w:fldChar w:fldCharType="separate"/>
      </w:r>
      <w:r w:rsidRPr="00B03E4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igre.na.srecu</w:t>
      </w:r>
      <w:r w:rsidRPr="00B03E4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sr-Latn-CS"/>
        </w:rPr>
        <w:t>@uis.gov.rs</w:t>
      </w:r>
      <w:r w:rsidR="008812E0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sr-Latn-CS"/>
        </w:rPr>
        <w:fldChar w:fldCharType="end"/>
      </w:r>
    </w:p>
    <w:p w14:paraId="13F8869F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Интернет презентација: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hyperlink r:id="rId10" w:history="1"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sr-Cyrl-CS"/>
          </w:rPr>
          <w:t>.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uis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sr-Cyrl-CS"/>
          </w:rPr>
          <w:t>.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gov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sr-Cyrl-CS"/>
          </w:rPr>
          <w:t>.</w:t>
        </w:r>
        <w:proofErr w:type="spellStart"/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rs</w:t>
        </w:r>
        <w:proofErr w:type="spellEnd"/>
      </w:hyperlink>
    </w:p>
    <w:p w14:paraId="40512BCC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</w:p>
    <w:p w14:paraId="050A0722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C0448B" w14:textId="7E695BF9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ИНФОРМАТОР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сачињен у складу са чланом 39. Закона о слободном приступу информацијама од јавног значаја („Сл</w:t>
      </w:r>
      <w:r w:rsidR="005533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 120/04, 54/07, 104/09 и 36/10) и Упутством за израду и објављивање информатора о раду државног органа („Сл</w:t>
      </w:r>
      <w:r w:rsidR="005533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РС“, број 68/2010).</w:t>
      </w:r>
    </w:p>
    <w:p w14:paraId="2712743F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A025029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Датум првог објављивања Информатора о раду: 14.01.2020. године</w:t>
      </w:r>
    </w:p>
    <w:p w14:paraId="15C9DC03" w14:textId="77777777" w:rsidR="00B03E47" w:rsidRPr="00B03E47" w:rsidRDefault="00B03E47" w:rsidP="00B03E47">
      <w:pPr>
        <w:tabs>
          <w:tab w:val="left" w:pos="3855"/>
        </w:tabs>
        <w:spacing w:after="0"/>
        <w:ind w:left="90" w:hanging="9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C0A0B85" w14:textId="77777777" w:rsidR="00B03E47" w:rsidRPr="00B03E47" w:rsidRDefault="00B03E47" w:rsidP="00B03E4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A734A0">
        <w:rPr>
          <w:rFonts w:ascii="Times New Roman" w:eastAsia="Calibri" w:hAnsi="Times New Roman" w:cs="Times New Roman"/>
          <w:sz w:val="24"/>
          <w:szCs w:val="24"/>
          <w:lang w:val="sr-Cyrl-CS"/>
        </w:rPr>
        <w:t>журиран на дан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A734A0" w:rsidRPr="00A734A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</w:t>
      </w:r>
      <w:r w:rsidR="0085339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5</w:t>
      </w:r>
      <w:r w:rsidRPr="00A734A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734A0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1</w:t>
      </w:r>
      <w:r w:rsidR="00A734A0" w:rsidRPr="00A734A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</w:t>
      </w:r>
      <w:r w:rsidRPr="00A734A0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43082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734A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 године</w:t>
      </w:r>
    </w:p>
    <w:p w14:paraId="2868E282" w14:textId="77777777" w:rsidR="0043082F" w:rsidRDefault="0043082F" w:rsidP="00B03E47">
      <w:pPr>
        <w:spacing w:after="0"/>
        <w:rPr>
          <w:rFonts w:cs="TimesNewRomanPSMT"/>
          <w:u w:val="single"/>
          <w:lang w:val="sr-Latn-RS"/>
        </w:rPr>
      </w:pPr>
    </w:p>
    <w:p w14:paraId="5AC64BFF" w14:textId="77777777" w:rsidR="00B03E47" w:rsidRPr="00B03E47" w:rsidRDefault="00B03E47" w:rsidP="00B03E47">
      <w:pPr>
        <w:ind w:left="45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ДОСТУПНОСТ   ИНФОРМАТОРА:</w:t>
      </w:r>
    </w:p>
    <w:p w14:paraId="045E6D60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сајту Управе за игре на срећу, </w:t>
      </w:r>
      <w:r w:rsidR="008812E0">
        <w:fldChar w:fldCharType="begin"/>
      </w:r>
      <w:r w:rsidR="008812E0">
        <w:instrText xml:space="preserve"> HYPERLINK "http://www.uis.gov.rs" </w:instrText>
      </w:r>
      <w:r w:rsidR="008812E0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uis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gov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8812E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3596B964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електронском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штампаном облику у просторијама Министарства финансија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Управ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улица Омладинских бригада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бр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1, Београд.</w:t>
      </w:r>
    </w:p>
    <w:p w14:paraId="72531009" w14:textId="77777777" w:rsidR="00B03E47" w:rsidRPr="00B03E47" w:rsidRDefault="00B03E47" w:rsidP="00B03E47">
      <w:pPr>
        <w:ind w:left="11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79B19E2" w14:textId="77777777" w:rsidR="00B03E47" w:rsidRPr="00B03E47" w:rsidRDefault="00B03E47" w:rsidP="00B03E47">
      <w:pPr>
        <w:ind w:left="11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43CF39B" w14:textId="77777777" w:rsidR="00B03E47" w:rsidRPr="00B03E47" w:rsidRDefault="00B03E47" w:rsidP="00B03E4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ЛИЦЕ ОДГОВОРНО ЗА ТАЧНОСТ  И  ДОСТУПНОСТ  ПОДАТАКА:</w:t>
      </w:r>
    </w:p>
    <w:p w14:paraId="015A4892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Зоран Гашић,  директор Управе за игре на срећу.</w:t>
      </w:r>
    </w:p>
    <w:p w14:paraId="7F9EB28C" w14:textId="77777777" w:rsidR="00B03E47" w:rsidRPr="00B03E47" w:rsidRDefault="00B03E47" w:rsidP="00B03E47">
      <w:pPr>
        <w:spacing w:line="24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63496D5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 објављивање и ажурирање информатора задужен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Биљана Мурганић, </w:t>
      </w:r>
      <w:r w:rsidRPr="00A734A0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овлашћено лице за поступање по захтевима за приступ информацијама од јавног значаја.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A8B0CAC" w14:textId="77777777" w:rsidR="00B03E47" w:rsidRPr="00B03E47" w:rsidRDefault="00B03E47" w:rsidP="00B03E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nasl_2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ОРГАНИЗАЦИОНА СТРУКТУРА УПРАВЕ ЗА ИГРЕ НА СРЕЋУ</w:t>
      </w:r>
    </w:p>
    <w:bookmarkEnd w:id="1"/>
    <w:p w14:paraId="3371EB2A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78B71" w14:textId="608637F3" w:rsidR="00B03E47" w:rsidRPr="00C96BB8" w:rsidRDefault="00B03E47" w:rsidP="00C96BB8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C96BB8">
        <w:rPr>
          <w:b/>
        </w:rPr>
        <w:t>Графички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приказ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организационе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структуре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Управе</w:t>
      </w:r>
      <w:proofErr w:type="spellEnd"/>
    </w:p>
    <w:p w14:paraId="24CADFD1" w14:textId="716D81A4" w:rsidR="00E55734" w:rsidRDefault="00E55734" w:rsidP="00E557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6AB7" w14:textId="2666BFBB" w:rsidR="00E55734" w:rsidRPr="00B03E47" w:rsidRDefault="00990E80" w:rsidP="00E557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3936" w:dyaOrig="10425" w14:anchorId="35AF6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05pt;height:347.15pt" o:ole="">
            <v:imagedata r:id="rId11" o:title=""/>
          </v:shape>
          <o:OLEObject Type="Embed" ProgID="Visio.Drawing.15" ShapeID="_x0000_i1025" DrawAspect="Content" ObjectID="_1701864067" r:id="rId12"/>
        </w:object>
      </w:r>
    </w:p>
    <w:p w14:paraId="031FA846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738FA" w14:textId="0F157F42" w:rsidR="00B03E47" w:rsidRPr="00C96BB8" w:rsidRDefault="00B03E47" w:rsidP="00C96BB8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C96BB8">
        <w:rPr>
          <w:b/>
        </w:rPr>
        <w:t>Наративни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приказ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организационе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структуре</w:t>
      </w:r>
      <w:proofErr w:type="spellEnd"/>
    </w:p>
    <w:p w14:paraId="0EA1CDD4" w14:textId="77777777" w:rsidR="00B03E47" w:rsidRPr="00B03E47" w:rsidRDefault="00B03E47" w:rsidP="00B03E4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6203EC" w14:textId="77777777" w:rsidR="00B03E47" w:rsidRPr="00A70A3F" w:rsidRDefault="00B03E47" w:rsidP="00A1534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(у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Управa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уређен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актом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Унутрашњем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уређењу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систематизацији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Министарству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Управ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5D6"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број: 110-00-217/1/2021-08 од 21. маја </w:t>
      </w:r>
      <w:r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2021</w:t>
      </w:r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15D6"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C215D6"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, на који је Влада дала сагласност Закључком 05 број: 110-4873/2021 од 27. маја 2021.године.</w:t>
      </w:r>
    </w:p>
    <w:p w14:paraId="7B3D60A1" w14:textId="12244E6A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eastAsia="Calibri"/>
          <w:b/>
          <w:lang w:val="sr-Latn-RS"/>
        </w:rPr>
        <w:t xml:space="preserve">2.2.1 </w:t>
      </w:r>
      <w:r w:rsidR="00B03E47">
        <w:rPr>
          <w:rFonts w:eastAsia="Calibri"/>
          <w:b/>
          <w:lang w:val="sr-Cyrl-RS"/>
        </w:rPr>
        <w:t>Одељење за одобрења и сагласности</w:t>
      </w:r>
      <w:r w:rsidR="00B03E47" w:rsidRPr="002346E1">
        <w:rPr>
          <w:rFonts w:eastAsia="Calibri"/>
          <w:b/>
        </w:rPr>
        <w:t xml:space="preserve"> – </w:t>
      </w:r>
      <w:r w:rsidR="00B03E47">
        <w:rPr>
          <w:rFonts w:ascii="fira-sans-condensed" w:hAnsi="fira-sans-condensed"/>
          <w:color w:val="212529"/>
        </w:rPr>
        <w:t xml:space="preserve">У </w:t>
      </w:r>
      <w:proofErr w:type="spellStart"/>
      <w:r w:rsidR="00B03E47">
        <w:rPr>
          <w:rFonts w:ascii="fira-sans-condensed" w:hAnsi="fira-sans-condensed"/>
          <w:color w:val="212529"/>
        </w:rPr>
        <w:t>Одељењу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давању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одузимању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као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одобравају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промене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приређивању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процене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вредности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наградног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фонда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наградних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у </w:t>
      </w:r>
      <w:proofErr w:type="spellStart"/>
      <w:r w:rsidR="00B03E47">
        <w:rPr>
          <w:rFonts w:ascii="fira-sans-condensed" w:hAnsi="fira-sans-condensed"/>
          <w:color w:val="212529"/>
        </w:rPr>
        <w:t>роби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услугама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формалне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исправности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формално-правне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усклађености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банкарских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гаранција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наменском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депозиту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издатим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датом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испуњености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добијање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наградних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у </w:t>
      </w:r>
      <w:proofErr w:type="spellStart"/>
      <w:r w:rsidR="00B03E47">
        <w:rPr>
          <w:rFonts w:ascii="fira-sans-condensed" w:hAnsi="fira-sans-condensed"/>
          <w:color w:val="212529"/>
        </w:rPr>
        <w:t>роби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услугама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привредним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накнадну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проверу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достављене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представља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припремa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позива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lastRenderedPageBreak/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спровођењу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позива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играчнице</w:t>
      </w:r>
      <w:proofErr w:type="spellEnd"/>
      <w:r w:rsidR="00B03E47">
        <w:rPr>
          <w:rFonts w:ascii="fira-sans-condensed" w:hAnsi="fira-sans-condensed"/>
          <w:color w:val="212529"/>
        </w:rPr>
        <w:t xml:space="preserve"> (</w:t>
      </w:r>
      <w:proofErr w:type="spellStart"/>
      <w:r w:rsidR="00B03E47">
        <w:rPr>
          <w:rFonts w:ascii="fira-sans-condensed" w:hAnsi="fira-sans-condensed"/>
          <w:color w:val="212529"/>
        </w:rPr>
        <w:t>казина</w:t>
      </w:r>
      <w:proofErr w:type="spellEnd"/>
      <w:r w:rsidR="00B03E47">
        <w:rPr>
          <w:rFonts w:ascii="fira-sans-condensed" w:hAnsi="fira-sans-condensed"/>
          <w:color w:val="212529"/>
        </w:rPr>
        <w:t xml:space="preserve">);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позива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играчницама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нацрта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Владе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давању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одузимању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играчницама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испуњености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добијање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кроз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доступне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службених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покретање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прекршајног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7CB0EFE7" w14:textId="77777777" w:rsidR="00B03E47" w:rsidRDefault="00B03E47" w:rsidP="005040EE">
      <w:pPr>
        <w:pStyle w:val="NormalWeb"/>
        <w:shd w:val="clear" w:color="auto" w:fill="FFFFFF"/>
        <w:spacing w:before="0" w:beforeAutospacing="0" w:after="0" w:afterAutospacing="0"/>
        <w:ind w:left="709" w:firstLine="731"/>
        <w:jc w:val="both"/>
        <w:rPr>
          <w:rFonts w:ascii="fira-sans-condensed" w:hAnsi="fira-sans-condensed"/>
          <w:color w:val="212529"/>
          <w:lang w:val="sr-Cyrl-RS"/>
        </w:rPr>
      </w:pPr>
    </w:p>
    <w:p w14:paraId="2AF07505" w14:textId="77777777" w:rsidR="00B03E47" w:rsidRDefault="00B03E47" w:rsidP="00B03E47">
      <w:pPr>
        <w:pStyle w:val="ListParagraph"/>
        <w:spacing w:after="200" w:line="276" w:lineRule="auto"/>
        <w:ind w:left="709" w:firstLine="11"/>
        <w:jc w:val="both"/>
        <w:rPr>
          <w:rFonts w:eastAsia="Calibri"/>
        </w:rPr>
      </w:pPr>
      <w:proofErr w:type="spellStart"/>
      <w:r>
        <w:rPr>
          <w:rFonts w:eastAsia="Calibri"/>
        </w:rPr>
        <w:t>Начелник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Одељења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Елеонора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Синђелић</w:t>
      </w:r>
      <w:proofErr w:type="spellEnd"/>
    </w:p>
    <w:p w14:paraId="65C5FD48" w14:textId="77777777" w:rsidR="00B03E47" w:rsidRPr="00AF78D7" w:rsidRDefault="00B03E47" w:rsidP="00B03E47">
      <w:pPr>
        <w:pStyle w:val="ListParagraph"/>
        <w:spacing w:after="200" w:line="276" w:lineRule="auto"/>
        <w:ind w:left="709" w:firstLine="11"/>
        <w:rPr>
          <w:rFonts w:eastAsia="Calibri"/>
        </w:rPr>
      </w:pPr>
      <w:proofErr w:type="spellStart"/>
      <w:r>
        <w:rPr>
          <w:rFonts w:eastAsia="Calibri"/>
        </w:rPr>
        <w:t>Тел</w:t>
      </w:r>
      <w:proofErr w:type="spellEnd"/>
      <w:r>
        <w:rPr>
          <w:rFonts w:eastAsia="Calibri"/>
        </w:rPr>
        <w:t xml:space="preserve">: 011/311-76-39; </w:t>
      </w:r>
    </w:p>
    <w:p w14:paraId="7792A365" w14:textId="77777777" w:rsidR="00B03E47" w:rsidRDefault="00B03E47" w:rsidP="00B03E47">
      <w:pPr>
        <w:pStyle w:val="ListParagraph"/>
        <w:spacing w:after="200" w:line="276" w:lineRule="auto"/>
        <w:ind w:left="709" w:firstLine="11"/>
        <w:rPr>
          <w:rFonts w:eastAsia="Calibri"/>
        </w:rPr>
      </w:pPr>
      <w:r>
        <w:rPr>
          <w:rFonts w:eastAsia="Calibri"/>
        </w:rPr>
        <w:t xml:space="preserve">e-mail: </w:t>
      </w:r>
      <w:hyperlink r:id="rId13" w:history="1">
        <w:r w:rsidRPr="00604886">
          <w:rPr>
            <w:rStyle w:val="Hyperlink"/>
            <w:rFonts w:eastAsia="Calibri"/>
          </w:rPr>
          <w:t>eleonora.sindjelic@uis.gov.rs</w:t>
        </w:r>
      </w:hyperlink>
    </w:p>
    <w:p w14:paraId="4F935DA4" w14:textId="6FD2BF57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eastAsia="Calibri"/>
          <w:b/>
          <w:lang w:val="sr-Latn-RS"/>
        </w:rPr>
        <w:t xml:space="preserve">2.2.2. </w:t>
      </w:r>
      <w:r w:rsidR="00B03E47" w:rsidRPr="0092341D">
        <w:rPr>
          <w:rFonts w:eastAsia="Calibri"/>
          <w:b/>
          <w:lang w:val="sr-Cyrl-RS"/>
        </w:rPr>
        <w:t>Одељење за надзор и анализу ризика</w:t>
      </w:r>
      <w:r w:rsidR="00B03E47" w:rsidRPr="0092341D">
        <w:rPr>
          <w:rFonts w:eastAsia="Calibri"/>
          <w:lang w:val="sr-Cyrl-RS"/>
        </w:rPr>
        <w:t xml:space="preserve"> - </w:t>
      </w:r>
      <w:r w:rsidR="00B03E47">
        <w:rPr>
          <w:rFonts w:ascii="fira-sans-condensed" w:hAnsi="fira-sans-condensed"/>
          <w:color w:val="212529"/>
        </w:rPr>
        <w:t xml:space="preserve">У </w:t>
      </w:r>
      <w:proofErr w:type="spellStart"/>
      <w:r w:rsidR="00B03E47">
        <w:rPr>
          <w:rFonts w:ascii="fira-sans-condensed" w:hAnsi="fira-sans-condensed"/>
          <w:color w:val="212529"/>
        </w:rPr>
        <w:t>Одељењу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анализу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утврђивања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као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посредан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непосредан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испуњености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прегледа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просторија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којима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приређују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игре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увида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радње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непосредно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посредно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повезане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пословне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књиге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извештаје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евиденције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софтвере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основу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може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утврдити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правилност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инспекцијског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материјалних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регулишу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листа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утврђивање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методологије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вршења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анализе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своје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надлежности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записника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извршеном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доношење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налаже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исправљање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утврђује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рокове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исправљање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забрањује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заплена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аутомата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предмета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употребљени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могли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бити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употребљени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надзираног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као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печаћење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простора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објеката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надзираног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кривичне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пријаве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пријаве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привредни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преступ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захтева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покретање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прекршајног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смерница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индикатора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типологија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надлежности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изради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процене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националном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нивоу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ванредних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месечних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праћења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њиховог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извршавању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препорука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укључујући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предлоге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отклањање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уочених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пропуста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поступцима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методолошких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упутстава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једнообразну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активирање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банкарских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гаранција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наменском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депозиту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електронског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извештавања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статистичко-евиденциони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637C3178" w14:textId="77777777" w:rsidR="00B03E47" w:rsidRPr="0092341D" w:rsidRDefault="00B03E47" w:rsidP="00B03E47">
      <w:pPr>
        <w:pStyle w:val="ListParagraph"/>
        <w:spacing w:after="200" w:line="276" w:lineRule="auto"/>
        <w:ind w:left="1800"/>
        <w:jc w:val="both"/>
        <w:rPr>
          <w:rFonts w:eastAsia="Calibri"/>
          <w:b/>
          <w:sz w:val="16"/>
          <w:szCs w:val="16"/>
        </w:rPr>
      </w:pPr>
    </w:p>
    <w:p w14:paraId="2E82C114" w14:textId="77777777" w:rsidR="00B03E47" w:rsidRPr="00796FE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 </w:t>
      </w:r>
      <w:proofErr w:type="spellStart"/>
      <w:r w:rsidRPr="00796FE7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79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6FE7">
        <w:rPr>
          <w:rFonts w:ascii="Times New Roman" w:eastAsia="Calibri" w:hAnsi="Times New Roman" w:cs="Times New Roman"/>
          <w:sz w:val="24"/>
          <w:szCs w:val="24"/>
        </w:rPr>
        <w:t>Одељења</w:t>
      </w:r>
      <w:proofErr w:type="spellEnd"/>
      <w:r w:rsidRPr="00796F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6FE7">
        <w:rPr>
          <w:rFonts w:ascii="Times New Roman" w:eastAsia="Calibri" w:hAnsi="Times New Roman" w:cs="Times New Roman"/>
          <w:sz w:val="24"/>
          <w:szCs w:val="24"/>
          <w:lang w:val="sr-Cyrl-RS"/>
        </w:rPr>
        <w:t>Сузана Шекуларац</w:t>
      </w:r>
    </w:p>
    <w:p w14:paraId="6935F919" w14:textId="77777777" w:rsidR="00B03E47" w:rsidRPr="00796FE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96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796FE7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96FE7">
        <w:rPr>
          <w:rFonts w:ascii="Times New Roman" w:eastAsia="Calibri" w:hAnsi="Times New Roman" w:cs="Times New Roman"/>
          <w:sz w:val="24"/>
          <w:szCs w:val="24"/>
        </w:rPr>
        <w:t>: 011/311-76-39;</w:t>
      </w:r>
    </w:p>
    <w:p w14:paraId="56A2364E" w14:textId="1A701F3B" w:rsid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Pr="00796FE7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14" w:history="1">
        <w:r w:rsidR="00E55734" w:rsidRPr="00B37FB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suzana.sekularac@uis.gov.rs</w:t>
        </w:r>
      </w:hyperlink>
    </w:p>
    <w:p w14:paraId="280A42B4" w14:textId="77777777" w:rsidR="00BB3D76" w:rsidRDefault="00BB3D76" w:rsidP="00B03E4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fira-sans-condensed" w:hAnsi="fira-sans-condensed"/>
          <w:b/>
          <w:color w:val="212529"/>
        </w:rPr>
      </w:pPr>
    </w:p>
    <w:p w14:paraId="2CADAA3D" w14:textId="30FFC629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b/>
          <w:color w:val="212529"/>
          <w:lang w:val="sr-Latn-RS"/>
        </w:rPr>
        <w:lastRenderedPageBreak/>
        <w:t xml:space="preserve">2.2.3. </w:t>
      </w:r>
      <w:r w:rsidR="00B03E47" w:rsidRPr="00796FE7">
        <w:rPr>
          <w:rFonts w:ascii="fira-sans-condensed" w:hAnsi="fira-sans-condensed"/>
          <w:b/>
          <w:color w:val="212529"/>
          <w:lang w:val="sr-Cyrl-RS"/>
        </w:rPr>
        <w:t>Одсек</w:t>
      </w:r>
      <w:r w:rsidR="00B03E47" w:rsidRPr="001F1903">
        <w:rPr>
          <w:rFonts w:ascii="fira-sans-condensed" w:hAnsi="fira-sans-condensed"/>
          <w:b/>
          <w:color w:val="212529"/>
          <w:lang w:val="sr-Cyrl-RS"/>
        </w:rPr>
        <w:t xml:space="preserve"> за финансијске, правне и опште послове</w:t>
      </w:r>
      <w:r w:rsidR="00B03E47">
        <w:rPr>
          <w:rFonts w:ascii="fira-sans-condensed" w:hAnsi="fira-sans-condensed"/>
          <w:color w:val="212529"/>
          <w:lang w:val="sr-Cyrl-RS"/>
        </w:rPr>
        <w:t xml:space="preserve"> -</w:t>
      </w:r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Одсеку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опште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финансијско-рачуноводствени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књиговодствени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периодичних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годишњих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обезбеђивања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коришћења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расположивих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средстава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припрема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буџету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расподела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средстава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оквиру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апропријација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средњорочног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нацрта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буџету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израђује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завршни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усаглашавање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оперативно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буџета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контролисање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законитог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наменског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економичног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трошења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буџетских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средстава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редовно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усаглашавање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сравњивање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консолидованог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главне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књиге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трезора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oрганизовање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контролисање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објава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спроведеним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поступцима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законитости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контролисање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обрачуна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исплата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лица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ангажованих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ван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оверавање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плаћање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организује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координира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контролише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контролише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унутрашњег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уређења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систематизације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места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општих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програма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људским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ресурсима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појединачних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радно-правног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статуса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кадровски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општи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промена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поступање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жалбама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службеника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изјављеним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сарадње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правобранилаштвом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судовима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ради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спорова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изјашњавања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тужбе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поднеске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спорова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и </w:t>
      </w:r>
      <w:proofErr w:type="spellStart"/>
      <w:r w:rsidR="00B03E47">
        <w:rPr>
          <w:rFonts w:ascii="fira-sans-condensed" w:hAnsi="fira-sans-condensed"/>
          <w:color w:val="212529"/>
        </w:rPr>
        <w:t>други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остваривање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кадровских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основу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аналитичких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анализирање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утврђивање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обуком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Управи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безбедности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здравља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одржавања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хардвера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софтвера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планирању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развоју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унапређењу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рачунарске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софтвера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континуирани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целокупне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рачунарске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процена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учешће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набавци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рачунарске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ажурирање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званичном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веб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порталу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Одсека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1D68BE81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sr-Cyrl-RS"/>
        </w:rPr>
      </w:pPr>
    </w:p>
    <w:p w14:paraId="56611442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proofErr w:type="spellStart"/>
      <w:r w:rsidRPr="00796FE7">
        <w:rPr>
          <w:rFonts w:eastAsia="Calibri"/>
        </w:rPr>
        <w:t>Шеф</w:t>
      </w:r>
      <w:proofErr w:type="spellEnd"/>
      <w:r w:rsidRPr="00796FE7">
        <w:rPr>
          <w:rFonts w:eastAsia="Calibri"/>
        </w:rPr>
        <w:t xml:space="preserve"> </w:t>
      </w:r>
      <w:proofErr w:type="spellStart"/>
      <w:r w:rsidRPr="00796FE7">
        <w:rPr>
          <w:rFonts w:eastAsia="Calibri"/>
        </w:rPr>
        <w:t>Одсека</w:t>
      </w:r>
      <w:proofErr w:type="spellEnd"/>
      <w:r w:rsidRPr="00796FE7">
        <w:rPr>
          <w:rFonts w:eastAsia="Calibri"/>
        </w:rPr>
        <w:t xml:space="preserve"> – </w:t>
      </w:r>
      <w:proofErr w:type="spellStart"/>
      <w:r w:rsidRPr="00796FE7">
        <w:rPr>
          <w:rFonts w:eastAsia="Calibri"/>
        </w:rPr>
        <w:t>Драгана</w:t>
      </w:r>
      <w:proofErr w:type="spellEnd"/>
      <w:r w:rsidRPr="00796FE7">
        <w:rPr>
          <w:rFonts w:eastAsia="Calibri"/>
        </w:rPr>
        <w:t xml:space="preserve"> </w:t>
      </w:r>
      <w:proofErr w:type="spellStart"/>
      <w:r w:rsidRPr="00796FE7">
        <w:rPr>
          <w:rFonts w:eastAsia="Calibri"/>
        </w:rPr>
        <w:t>Станковић</w:t>
      </w:r>
      <w:proofErr w:type="spellEnd"/>
    </w:p>
    <w:p w14:paraId="6553070F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Pr="00796FE7">
        <w:rPr>
          <w:rFonts w:eastAsia="Calibri"/>
          <w:lang w:val="sr-Cyrl-RS"/>
        </w:rPr>
        <w:t>Т</w:t>
      </w:r>
      <w:proofErr w:type="spellStart"/>
      <w:r w:rsidRPr="00796FE7">
        <w:rPr>
          <w:rFonts w:eastAsia="Calibri"/>
        </w:rPr>
        <w:t>ел</w:t>
      </w:r>
      <w:proofErr w:type="spellEnd"/>
      <w:r w:rsidRPr="00796FE7">
        <w:rPr>
          <w:rFonts w:eastAsia="Calibri"/>
        </w:rPr>
        <w:t xml:space="preserve">: 011/311-76-39; </w:t>
      </w:r>
    </w:p>
    <w:p w14:paraId="3D42B78C" w14:textId="77777777" w:rsidR="00B03E47" w:rsidRPr="00796FE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eastAsia="Calibri"/>
          <w:lang w:val="sr-Cyrl-RS"/>
        </w:rPr>
        <w:t xml:space="preserve">            </w:t>
      </w:r>
      <w:r w:rsidRPr="00796FE7">
        <w:rPr>
          <w:rFonts w:eastAsia="Calibri"/>
        </w:rPr>
        <w:t xml:space="preserve">e-mail: </w:t>
      </w:r>
      <w:hyperlink r:id="rId15" w:history="1">
        <w:r w:rsidRPr="00796FE7">
          <w:rPr>
            <w:rStyle w:val="Hyperlink"/>
            <w:rFonts w:eastAsia="Calibri"/>
          </w:rPr>
          <w:t>dragana.stankovic@uis.gov.rs</w:t>
        </w:r>
      </w:hyperlink>
    </w:p>
    <w:p w14:paraId="43883B51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5C587AE0" w14:textId="4917843E" w:rsidR="00B03E47" w:rsidRPr="0064439E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b/>
          <w:bCs/>
          <w:color w:val="212529"/>
        </w:rPr>
        <w:t xml:space="preserve">2.2.4.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Група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за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нормативне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b/>
          <w:bCs/>
          <w:color w:val="212529"/>
          <w:lang w:val="sr-Cyrl-RS"/>
        </w:rPr>
        <w:t xml:space="preserve"> - </w:t>
      </w:r>
      <w:r w:rsidR="00B03E47">
        <w:rPr>
          <w:rFonts w:ascii="fira-sans-condensed" w:hAnsi="fira-sans-condensed"/>
          <w:color w:val="212529"/>
        </w:rPr>
        <w:t xml:space="preserve">У </w:t>
      </w:r>
      <w:proofErr w:type="spellStart"/>
      <w:r w:rsidR="00B03E47">
        <w:rPr>
          <w:rFonts w:ascii="fira-sans-condensed" w:hAnsi="fira-sans-condensed"/>
          <w:color w:val="212529"/>
        </w:rPr>
        <w:t>Групи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нормативне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: </w:t>
      </w:r>
      <w:proofErr w:type="spellStart"/>
      <w:r w:rsidR="00B03E47">
        <w:rPr>
          <w:rFonts w:ascii="fira-sans-condensed" w:hAnsi="fira-sans-condensed"/>
          <w:color w:val="212529"/>
        </w:rPr>
        <w:t>иницирање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измене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допуне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припреми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методолошких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упутстава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процедура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примени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циљу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једнообразне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ставова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објашњења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примени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мишљења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играма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подзаконским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стручних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упутства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складу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уређује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анализа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информација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Министарства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полицијских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градских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општинских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судова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тужилаштава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сарадњу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правобранилаштвом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судовима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lastRenderedPageBreak/>
        <w:t>другим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односно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поступцима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воде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организационим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јединицама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објашњења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активности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везане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пројектима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подршке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припреми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прикупљање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неопходних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остваривања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циљева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планским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кроз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показатеље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учинка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анализа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прикупљених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извештавања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спровођењу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подршке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развоју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обједињавање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унутрашњих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јединица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r w:rsidR="0064439E">
        <w:rPr>
          <w:rFonts w:ascii="fira-sans-condensed" w:hAnsi="fira-sans-condensed"/>
          <w:color w:val="212529"/>
          <w:lang w:val="sr-Cyrl-RS"/>
        </w:rPr>
        <w:t>Групе.</w:t>
      </w:r>
    </w:p>
    <w:p w14:paraId="496EC528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fira-sans-condensed" w:hAnsi="fira-sans-condensed"/>
          <w:color w:val="212529"/>
          <w:lang w:val="sr-Cyrl-RS"/>
        </w:rPr>
      </w:pPr>
    </w:p>
    <w:p w14:paraId="398E6AF2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  </w:t>
      </w:r>
      <w:r>
        <w:rPr>
          <w:rFonts w:ascii="fira-sans-condensed" w:hAnsi="fira-sans-condensed" w:hint="eastAsia"/>
          <w:color w:val="212529"/>
          <w:lang w:val="sr-Cyrl-RS"/>
        </w:rPr>
        <w:t>Р</w:t>
      </w:r>
      <w:r>
        <w:rPr>
          <w:rFonts w:ascii="fira-sans-condensed" w:hAnsi="fira-sans-condensed"/>
          <w:color w:val="212529"/>
          <w:lang w:val="sr-Cyrl-RS"/>
        </w:rPr>
        <w:t>уководилац Групе – Јелена Божовић</w:t>
      </w:r>
    </w:p>
    <w:p w14:paraId="27A99078" w14:textId="77777777" w:rsidR="00B03E47" w:rsidRPr="00796FE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  </w:t>
      </w:r>
      <w:proofErr w:type="spellStart"/>
      <w:r w:rsidRPr="00796FE7">
        <w:rPr>
          <w:rFonts w:eastAsia="Calibri"/>
        </w:rPr>
        <w:t>Тел</w:t>
      </w:r>
      <w:proofErr w:type="spellEnd"/>
      <w:r w:rsidRPr="00796FE7">
        <w:rPr>
          <w:rFonts w:eastAsia="Calibri"/>
        </w:rPr>
        <w:t xml:space="preserve">: 011/311-76-39; </w:t>
      </w:r>
    </w:p>
    <w:p w14:paraId="2F181B2B" w14:textId="7D8218B3" w:rsidR="00B03E47" w:rsidRDefault="00B03E47" w:rsidP="00B03E47">
      <w:pPr>
        <w:jc w:val="both"/>
        <w:rPr>
          <w:rFonts w:ascii="Times New Roman" w:eastAsia="Calibri" w:hAnsi="Times New Roman" w:cs="Times New Roman"/>
        </w:rPr>
      </w:pPr>
      <w:r w:rsidRPr="00796FE7">
        <w:rPr>
          <w:rFonts w:ascii="Times New Roman" w:eastAsia="Calibri" w:hAnsi="Times New Roman" w:cs="Times New Roman"/>
          <w:lang w:val="sr-Cyrl-RS"/>
        </w:rPr>
        <w:t xml:space="preserve">            </w:t>
      </w:r>
      <w:r w:rsidRPr="00796FE7">
        <w:rPr>
          <w:rFonts w:ascii="Times New Roman" w:eastAsia="Calibri" w:hAnsi="Times New Roman" w:cs="Times New Roman"/>
        </w:rPr>
        <w:t xml:space="preserve">e-mail: </w:t>
      </w:r>
      <w:hyperlink r:id="rId16" w:history="1">
        <w:r w:rsidR="00E55734" w:rsidRPr="00B37FBE">
          <w:rPr>
            <w:rStyle w:val="Hyperlink"/>
            <w:rFonts w:ascii="Times New Roman" w:eastAsia="Calibri" w:hAnsi="Times New Roman" w:cs="Times New Roman"/>
            <w:lang w:val="sr-Latn-RS"/>
          </w:rPr>
          <w:t>jelena</w:t>
        </w:r>
        <w:r w:rsidR="00E55734" w:rsidRPr="00B37FBE">
          <w:rPr>
            <w:rStyle w:val="Hyperlink"/>
            <w:rFonts w:ascii="Times New Roman" w:eastAsia="Calibri" w:hAnsi="Times New Roman" w:cs="Times New Roman"/>
          </w:rPr>
          <w:t>.bozovic@uis.gov.rs</w:t>
        </w:r>
      </w:hyperlink>
    </w:p>
    <w:p w14:paraId="4AD716B7" w14:textId="7604097E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b/>
          <w:bCs/>
          <w:color w:val="212529"/>
        </w:rPr>
        <w:t xml:space="preserve">2.2.5.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Радно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место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за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развој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комуникацију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 - </w:t>
      </w:r>
      <w:proofErr w:type="spellStart"/>
      <w:r w:rsidR="00B03E47">
        <w:rPr>
          <w:rFonts w:ascii="fira-sans-condensed" w:hAnsi="fira-sans-condensed"/>
          <w:color w:val="212529"/>
        </w:rPr>
        <w:t>предлаже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идентификованих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проблема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унапређење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основу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анализа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Акционог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Оперативног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координацију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активности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Акционим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Националне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стратегије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борбу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против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планира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спроводи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стратегију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 с </w:t>
      </w:r>
      <w:proofErr w:type="spellStart"/>
      <w:r w:rsidR="00B03E47">
        <w:rPr>
          <w:rFonts w:ascii="fira-sans-condensed" w:hAnsi="fira-sans-condensed"/>
          <w:color w:val="212529"/>
        </w:rPr>
        <w:t>медијима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координира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саопштења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информација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поступа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приступ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значаја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дефинише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правце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одређује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приоритете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развој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унапређење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учинком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води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поступак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узбуњивањем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припреми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покренутих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иницијатива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оцену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уставности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законитости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подзаконских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налогу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директора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388F3902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fira-sans-condensed" w:hAnsi="fira-sans-condensed"/>
          <w:color w:val="212529"/>
          <w:lang w:val="sr-Cyrl-RS"/>
        </w:rPr>
      </w:pPr>
    </w:p>
    <w:p w14:paraId="698AC2FD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hanging="11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 w:hint="eastAsia"/>
          <w:color w:val="212529"/>
          <w:lang w:val="sr-Cyrl-RS"/>
        </w:rPr>
        <w:t>С</w:t>
      </w:r>
      <w:r>
        <w:rPr>
          <w:rFonts w:ascii="fira-sans-condensed" w:hAnsi="fira-sans-condensed"/>
          <w:color w:val="212529"/>
          <w:lang w:val="sr-Cyrl-RS"/>
        </w:rPr>
        <w:t>амостални извршилац – Биљана Мурганић</w:t>
      </w:r>
    </w:p>
    <w:p w14:paraId="0B6745C5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  Тел.: 011/311-76-39</w:t>
      </w:r>
    </w:p>
    <w:p w14:paraId="13EC5296" w14:textId="06D5C903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hanging="11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color w:val="212529"/>
          <w:lang w:val="sr-Latn-RS"/>
        </w:rPr>
        <w:t xml:space="preserve">e-mail: </w:t>
      </w:r>
      <w:r w:rsidR="008812E0">
        <w:fldChar w:fldCharType="begin"/>
      </w:r>
      <w:r w:rsidR="008812E0">
        <w:instrText xml:space="preserve"> HYPERLINK "mailto:biljana.murganic@uis.gov.rs" </w:instrText>
      </w:r>
      <w:r w:rsidR="008812E0">
        <w:fldChar w:fldCharType="separate"/>
      </w:r>
      <w:r w:rsidR="00E55734" w:rsidRPr="00B37FBE">
        <w:rPr>
          <w:rStyle w:val="Hyperlink"/>
          <w:rFonts w:ascii="fira-sans-condensed" w:hAnsi="fira-sans-condensed"/>
          <w:lang w:val="sr-Latn-RS"/>
        </w:rPr>
        <w:t>biljana.murganic</w:t>
      </w:r>
      <w:r w:rsidR="00E55734" w:rsidRPr="00B37FBE">
        <w:rPr>
          <w:rStyle w:val="Hyperlink"/>
          <w:rFonts w:ascii="fira-sans-condensed" w:hAnsi="fira-sans-condensed"/>
        </w:rPr>
        <w:t>@uis.gov.rs</w:t>
      </w:r>
      <w:r w:rsidR="008812E0">
        <w:rPr>
          <w:rStyle w:val="Hyperlink"/>
          <w:rFonts w:ascii="fira-sans-condensed" w:hAnsi="fira-sans-condensed"/>
        </w:rPr>
        <w:fldChar w:fldCharType="end"/>
      </w:r>
    </w:p>
    <w:p w14:paraId="6C290AEC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</w:p>
    <w:p w14:paraId="7D94F60B" w14:textId="0803845A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b/>
          <w:bCs/>
          <w:color w:val="212529"/>
        </w:rPr>
        <w:t xml:space="preserve">2.2.6.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Радно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место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за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координацију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оперативни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рад</w:t>
      </w:r>
      <w:proofErr w:type="spellEnd"/>
      <w:r w:rsidR="00B03E47">
        <w:rPr>
          <w:rFonts w:ascii="fira-sans-condensed" w:hAnsi="fira-sans-condensed"/>
          <w:color w:val="212529"/>
        </w:rPr>
        <w:t xml:space="preserve"> – </w:t>
      </w:r>
      <w:r w:rsidR="00BB3D76">
        <w:rPr>
          <w:rFonts w:ascii="fira-sans-condensed" w:hAnsi="fira-sans-condensed"/>
          <w:color w:val="212529"/>
          <w:lang w:val="sr-Cyrl-RS"/>
        </w:rPr>
        <w:t>к</w:t>
      </w:r>
      <w:proofErr w:type="spellStart"/>
      <w:r w:rsidR="00B03E47">
        <w:rPr>
          <w:rFonts w:ascii="fira-sans-condensed" w:hAnsi="fira-sans-condensed"/>
          <w:color w:val="212529"/>
        </w:rPr>
        <w:t>оординира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прикупљања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субјекте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израђује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процене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обједињује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вреднује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податке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упућују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реалне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претње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селектује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високо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идентификује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појавне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облике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супротно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предлаже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реализацију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поштовања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организује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остварује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сарадњу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организацијама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циљу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унапређења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</w:t>
      </w:r>
      <w:proofErr w:type="spellStart"/>
      <w:r w:rsidR="00B03E47">
        <w:rPr>
          <w:rFonts w:ascii="fira-sans-condensed" w:hAnsi="fira-sans-condensed"/>
          <w:color w:val="212529"/>
        </w:rPr>
        <w:t>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унутрашњим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јединицама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ефикаснијег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налогу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директора</w:t>
      </w:r>
      <w:proofErr w:type="spellEnd"/>
      <w:r w:rsidR="00B03E47">
        <w:rPr>
          <w:rFonts w:ascii="fira-sans-condensed" w:hAnsi="fira-sans-condensed"/>
          <w:color w:val="212529"/>
        </w:rPr>
        <w:t>. </w:t>
      </w:r>
    </w:p>
    <w:p w14:paraId="56AFFD01" w14:textId="77777777" w:rsidR="00667EE4" w:rsidRDefault="00B03E47" w:rsidP="00667EE4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</w:p>
    <w:p w14:paraId="3889F6B1" w14:textId="77777777" w:rsidR="00B03E47" w:rsidRDefault="00B03E47" w:rsidP="00B03E47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  <w:r w:rsidRPr="001F1903">
        <w:rPr>
          <w:rFonts w:ascii="Times New Roman" w:hAnsi="Times New Roman" w:cs="Times New Roman"/>
          <w:lang w:val="sr-Cyrl-RS"/>
        </w:rPr>
        <w:t>Радно место није попуњено</w:t>
      </w:r>
      <w:r>
        <w:rPr>
          <w:rFonts w:ascii="Times New Roman" w:hAnsi="Times New Roman" w:cs="Times New Roman"/>
          <w:lang w:val="sr-Cyrl-RS"/>
        </w:rPr>
        <w:t>.</w:t>
      </w:r>
    </w:p>
    <w:p w14:paraId="1343BB1B" w14:textId="209AF68C" w:rsidR="00F90D4A" w:rsidRDefault="00F90D4A" w:rsidP="00B03E47">
      <w:pPr>
        <w:rPr>
          <w:rFonts w:ascii="Times New Roman" w:hAnsi="Times New Roman" w:cs="Times New Roman"/>
          <w:lang w:val="sr-Latn-RS"/>
        </w:rPr>
      </w:pPr>
    </w:p>
    <w:p w14:paraId="1FC9AA49" w14:textId="77777777" w:rsidR="00667EE4" w:rsidRPr="00492965" w:rsidRDefault="00667EE4" w:rsidP="00667EE4">
      <w:pPr>
        <w:pStyle w:val="ListParagraph"/>
        <w:numPr>
          <w:ilvl w:val="0"/>
          <w:numId w:val="2"/>
        </w:numPr>
        <w:rPr>
          <w:b/>
        </w:rPr>
      </w:pPr>
      <w:bookmarkStart w:id="2" w:name="nasl_3"/>
      <w:r w:rsidRPr="00492965">
        <w:rPr>
          <w:b/>
        </w:rPr>
        <w:lastRenderedPageBreak/>
        <w:t>ОПИС ФУНКЦИЈА СТАРЕШИНА</w:t>
      </w:r>
    </w:p>
    <w:bookmarkEnd w:id="2"/>
    <w:p w14:paraId="16967F06" w14:textId="77777777" w:rsidR="00667EE4" w:rsidRDefault="00667EE4" w:rsidP="00667EE4">
      <w:pPr>
        <w:pStyle w:val="ListParagraph"/>
        <w:rPr>
          <w:b/>
        </w:rPr>
      </w:pPr>
    </w:p>
    <w:p w14:paraId="2693CE1E" w14:textId="77777777" w:rsidR="00667EE4" w:rsidRDefault="00667EE4" w:rsidP="00667EE4">
      <w:pPr>
        <w:pStyle w:val="ListParagraph"/>
        <w:rPr>
          <w:b/>
          <w:lang w:val="sr-Cyrl-RS"/>
        </w:rPr>
      </w:pPr>
      <w:r>
        <w:rPr>
          <w:b/>
          <w:lang w:val="sr-Cyrl-RS"/>
        </w:rPr>
        <w:t>Директор</w:t>
      </w:r>
    </w:p>
    <w:p w14:paraId="0F570C93" w14:textId="77777777" w:rsidR="00667EE4" w:rsidRPr="00C32BF7" w:rsidRDefault="00667EE4" w:rsidP="00667EE4">
      <w:pPr>
        <w:pStyle w:val="ListParagraph"/>
        <w:rPr>
          <w:b/>
          <w:lang w:val="sr-Cyrl-RS"/>
        </w:rPr>
      </w:pPr>
      <w:proofErr w:type="spellStart"/>
      <w:r>
        <w:rPr>
          <w:b/>
        </w:rPr>
        <w:t>Директор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игре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Зоран Гашић</w:t>
      </w:r>
      <w:r>
        <w:rPr>
          <w:b/>
          <w:lang w:val="sr-Cyrl-RS"/>
        </w:rPr>
        <w:t>.</w:t>
      </w:r>
    </w:p>
    <w:p w14:paraId="198A154F" w14:textId="77777777" w:rsidR="00667EE4" w:rsidRDefault="00667EE4" w:rsidP="00667EE4">
      <w:pPr>
        <w:pStyle w:val="ListParagraph"/>
        <w:rPr>
          <w:b/>
        </w:rPr>
      </w:pPr>
    </w:p>
    <w:p w14:paraId="61602A20" w14:textId="77777777" w:rsidR="00667EE4" w:rsidRDefault="00667EE4" w:rsidP="00C0065C">
      <w:pPr>
        <w:pStyle w:val="ListParagraph"/>
        <w:ind w:left="0" w:firstLine="851"/>
        <w:jc w:val="both"/>
      </w:pPr>
      <w:proofErr w:type="spellStart"/>
      <w:r>
        <w:t>Радом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министру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министар</w:t>
      </w:r>
      <w:proofErr w:type="spellEnd"/>
      <w:r>
        <w:t>).</w:t>
      </w:r>
    </w:p>
    <w:p w14:paraId="413CF0D5" w14:textId="77777777" w:rsidR="00667EE4" w:rsidRDefault="00667EE4" w:rsidP="00C0065C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fira-sans-condensed" w:hAnsi="fira-sans-condensed"/>
          <w:color w:val="212529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: </w:t>
      </w:r>
      <w:proofErr w:type="spellStart"/>
      <w:r>
        <w:rPr>
          <w:rFonts w:ascii="fira-sans-condensed" w:hAnsi="fira-sans-condensed"/>
          <w:color w:val="212529"/>
        </w:rPr>
        <w:t>Директор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руководи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радом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планира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усклађује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организује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законито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ефикасно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обављање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послова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из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области</w:t>
      </w:r>
      <w:proofErr w:type="spellEnd"/>
      <w:r>
        <w:rPr>
          <w:rFonts w:ascii="fira-sans-condensed" w:hAnsi="fira-sans-condensed"/>
          <w:color w:val="212529"/>
        </w:rPr>
        <w:t xml:space="preserve"> игара </w:t>
      </w:r>
      <w:proofErr w:type="spellStart"/>
      <w:r>
        <w:rPr>
          <w:rFonts w:ascii="fira-sans-condensed" w:hAnsi="fira-sans-condensed"/>
          <w:color w:val="212529"/>
        </w:rPr>
        <w:t>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распоређује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задатке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унутрашње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јединице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решава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управним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стварима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доноси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акта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из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области</w:t>
      </w:r>
      <w:proofErr w:type="spellEnd"/>
      <w:r>
        <w:rPr>
          <w:rFonts w:ascii="fira-sans-condensed" w:hAnsi="fira-sans-condensed"/>
          <w:color w:val="212529"/>
        </w:rPr>
        <w:t xml:space="preserve"> игара </w:t>
      </w:r>
      <w:proofErr w:type="spellStart"/>
      <w:r>
        <w:rPr>
          <w:rFonts w:ascii="fira-sans-condensed" w:hAnsi="fira-sans-condensed"/>
          <w:color w:val="212529"/>
        </w:rPr>
        <w:t>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издаје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директиве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циљу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одређивања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начина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рада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поступања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понашања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запослених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Управи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одлучује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правима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дужностима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запослених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Управи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иницира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предлог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министру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финансија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постављењу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помоћника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директора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сарађује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другим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државним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органима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организацијама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циљу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правилне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доследне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примене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прописа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области</w:t>
      </w:r>
      <w:proofErr w:type="spellEnd"/>
      <w:r>
        <w:rPr>
          <w:rFonts w:ascii="fira-sans-condensed" w:hAnsi="fira-sans-condensed"/>
          <w:color w:val="212529"/>
        </w:rPr>
        <w:t xml:space="preserve"> игара </w:t>
      </w:r>
      <w:proofErr w:type="spellStart"/>
      <w:r>
        <w:rPr>
          <w:rFonts w:ascii="fira-sans-condensed" w:hAnsi="fira-sans-condensed"/>
          <w:color w:val="212529"/>
        </w:rPr>
        <w:t>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доноси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стратешке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одлуке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управљању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кадровским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финансијским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информатичким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питањима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развоја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унапређења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система</w:t>
      </w:r>
      <w:proofErr w:type="spellEnd"/>
      <w:r>
        <w:rPr>
          <w:rFonts w:ascii="fira-sans-condensed" w:hAnsi="fira-sans-condensed"/>
          <w:color w:val="212529"/>
        </w:rPr>
        <w:t xml:space="preserve"> игара </w:t>
      </w:r>
      <w:proofErr w:type="spellStart"/>
      <w:r>
        <w:rPr>
          <w:rFonts w:ascii="fira-sans-condensed" w:hAnsi="fira-sans-condensed"/>
          <w:color w:val="212529"/>
        </w:rPr>
        <w:t>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поступка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политике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других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питања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од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значаја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располаже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финансијским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средствима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обиму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средстава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утврђеним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Законом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буџету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финансијским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планом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предлаже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министру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доношење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акта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унутрашњем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уређењу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систематизацији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радних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места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Управи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других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подзаконских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аката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обавља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друге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послове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налогу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министра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финансија</w:t>
      </w:r>
      <w:proofErr w:type="spellEnd"/>
      <w:r>
        <w:rPr>
          <w:rFonts w:ascii="fira-sans-condensed" w:hAnsi="fira-sans-condensed"/>
          <w:color w:val="212529"/>
        </w:rPr>
        <w:t xml:space="preserve">. </w:t>
      </w:r>
    </w:p>
    <w:p w14:paraId="59EFE1BC" w14:textId="77777777" w:rsidR="00667EE4" w:rsidRDefault="00667EE4" w:rsidP="00C96BB8">
      <w:pPr>
        <w:pStyle w:val="ListParagraph"/>
        <w:ind w:left="0" w:firstLine="1440"/>
        <w:jc w:val="both"/>
        <w:rPr>
          <w:lang w:val="sr-Cyrl-RS"/>
        </w:rPr>
      </w:pPr>
    </w:p>
    <w:p w14:paraId="62B3D8A3" w14:textId="77777777" w:rsidR="00667EE4" w:rsidRDefault="00667EE4" w:rsidP="00667EE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fira-sans-condensed" w:hAnsi="fira-sans-condensed"/>
          <w:b/>
          <w:color w:val="212529"/>
          <w:lang w:val="sr-Cyrl-RS"/>
        </w:rPr>
      </w:pPr>
      <w:r>
        <w:rPr>
          <w:rFonts w:ascii="fira-sans-condensed" w:hAnsi="fira-sans-condensed"/>
          <w:b/>
          <w:color w:val="212529"/>
          <w:lang w:val="sr-Cyrl-RS"/>
        </w:rPr>
        <w:t>П</w:t>
      </w:r>
      <w:proofErr w:type="spellStart"/>
      <w:r w:rsidRPr="0079785A">
        <w:rPr>
          <w:rFonts w:ascii="fira-sans-condensed" w:hAnsi="fira-sans-condensed"/>
          <w:b/>
          <w:color w:val="212529"/>
        </w:rPr>
        <w:t>омоћник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директора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за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нормативне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послове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и </w:t>
      </w:r>
      <w:proofErr w:type="spellStart"/>
      <w:r w:rsidRPr="0079785A">
        <w:rPr>
          <w:rFonts w:ascii="fira-sans-condensed" w:hAnsi="fira-sans-condensed"/>
          <w:b/>
          <w:color w:val="212529"/>
        </w:rPr>
        <w:t>послове</w:t>
      </w:r>
      <w:proofErr w:type="spellEnd"/>
      <w:r w:rsidR="00FB1BED">
        <w:rPr>
          <w:rFonts w:ascii="fira-sans-condensed" w:hAnsi="fira-sans-condensed"/>
          <w:b/>
          <w:color w:val="212529"/>
          <w:lang w:val="sr-Cyrl-RS"/>
        </w:rPr>
        <w:t xml:space="preserve"> надзора</w:t>
      </w:r>
      <w:r w:rsidRPr="0079785A">
        <w:rPr>
          <w:rFonts w:ascii="fira-sans-condensed" w:hAnsi="fira-sans-condensed"/>
          <w:b/>
          <w:color w:val="212529"/>
        </w:rPr>
        <w:t xml:space="preserve"> </w:t>
      </w:r>
    </w:p>
    <w:p w14:paraId="288AE246" w14:textId="77777777" w:rsidR="00667EE4" w:rsidRDefault="00667EE4" w:rsidP="00921CF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fira-sans-condensed" w:hAnsi="fira-sans-condensed"/>
          <w:b/>
          <w:color w:val="212529"/>
          <w:lang w:val="sr-Cyrl-RS"/>
        </w:rPr>
      </w:pPr>
      <w:proofErr w:type="spellStart"/>
      <w:r w:rsidRPr="0079785A">
        <w:rPr>
          <w:rFonts w:ascii="fira-sans-condensed" w:hAnsi="fira-sans-condensed"/>
          <w:b/>
          <w:color w:val="212529"/>
        </w:rPr>
        <w:t>Вршилац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дужности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помоћника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директора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за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нормативне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послове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и </w:t>
      </w:r>
      <w:proofErr w:type="spellStart"/>
      <w:r w:rsidRPr="0079785A">
        <w:rPr>
          <w:rFonts w:ascii="fira-sans-condensed" w:hAnsi="fira-sans-condensed"/>
          <w:b/>
          <w:color w:val="212529"/>
        </w:rPr>
        <w:t>послове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надзора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r w:rsidRPr="0079785A">
        <w:rPr>
          <w:rFonts w:ascii="fira-sans-condensed" w:hAnsi="fira-sans-condensed"/>
          <w:b/>
          <w:color w:val="212529"/>
          <w:lang w:val="sr-Cyrl-RS"/>
        </w:rPr>
        <w:t>је</w:t>
      </w:r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Владан</w:t>
      </w:r>
      <w:proofErr w:type="spellEnd"/>
      <w:r w:rsidRPr="0079785A">
        <w:rPr>
          <w:rFonts w:ascii="fira-sans-condensed" w:hAnsi="fira-sans-condensed"/>
          <w:b/>
          <w:color w:val="212529"/>
        </w:rPr>
        <w:t xml:space="preserve"> </w:t>
      </w:r>
      <w:proofErr w:type="spellStart"/>
      <w:r w:rsidRPr="0079785A">
        <w:rPr>
          <w:rFonts w:ascii="fira-sans-condensed" w:hAnsi="fira-sans-condensed"/>
          <w:b/>
          <w:color w:val="212529"/>
        </w:rPr>
        <w:t>Армуш</w:t>
      </w:r>
      <w:proofErr w:type="spellEnd"/>
      <w:r w:rsidRPr="0079785A">
        <w:rPr>
          <w:rFonts w:ascii="fira-sans-condensed" w:hAnsi="fira-sans-condensed"/>
          <w:b/>
          <w:color w:val="212529"/>
        </w:rPr>
        <w:t>.</w:t>
      </w:r>
    </w:p>
    <w:p w14:paraId="731750F9" w14:textId="77777777" w:rsidR="00921CFB" w:rsidRPr="00921CFB" w:rsidRDefault="00921CFB" w:rsidP="00921CF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fira-sans-condensed" w:hAnsi="fira-sans-condensed"/>
          <w:b/>
          <w:color w:val="212529"/>
          <w:lang w:val="sr-Cyrl-RS"/>
        </w:rPr>
      </w:pPr>
    </w:p>
    <w:p w14:paraId="608A4D7A" w14:textId="77777777" w:rsidR="00667EE4" w:rsidRDefault="00667EE4" w:rsidP="00C96BB8">
      <w:pPr>
        <w:pStyle w:val="ListParagraph"/>
        <w:ind w:left="0" w:firstLine="720"/>
        <w:jc w:val="both"/>
      </w:pP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министру</w:t>
      </w:r>
      <w:proofErr w:type="spellEnd"/>
      <w:r>
        <w:t>.</w:t>
      </w:r>
    </w:p>
    <w:p w14:paraId="34CB2640" w14:textId="77777777" w:rsidR="00675F6A" w:rsidRPr="00675F6A" w:rsidRDefault="00667EE4" w:rsidP="00C96BB8">
      <w:pPr>
        <w:tabs>
          <w:tab w:val="left" w:pos="851"/>
          <w:tab w:val="left" w:pos="8115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75F6A">
        <w:rPr>
          <w:rFonts w:ascii="Times New Roman" w:hAnsi="Times New Roman" w:cs="Times New Roman"/>
          <w:color w:val="212529"/>
          <w:sz w:val="24"/>
          <w:szCs w:val="24"/>
          <w:lang w:val="sr-Cyrl-RS"/>
        </w:rPr>
        <w:t xml:space="preserve">Опис послова: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Руководи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усклађивања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међународним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стандардима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области рада за коју је надлежан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унутрашњ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>их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јединиц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и 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>врши контролу над применом закона и других прописа од стране организационих јединица чији рад координира</w:t>
      </w:r>
      <w:r w:rsidR="00675F6A" w:rsidRPr="00675F6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учествује у припреми прописа у области игара на срећу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иницира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доношење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директива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наведена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координира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сарадњу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управама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саставу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државним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извештаје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извршавању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сарађује са државним органима и организацијама других земаља у циљу размене искустава у примени прописа у области игара на срећу;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на националним и међународним скуповима, састанцима, семинарима, обукама у циљу размене искустава и унапређења прописа из области игара на срећу и поступања Управе;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налогу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директора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675F6A" w:rsidRPr="00675F6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75F6A" w:rsidRPr="00675F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A65CE3" w14:textId="77777777" w:rsidR="00667EE4" w:rsidRDefault="00667EE4" w:rsidP="00667EE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fira-sans-condensed" w:hAnsi="fira-sans-condensed"/>
          <w:color w:val="212529"/>
        </w:rPr>
      </w:pPr>
      <w:proofErr w:type="spellStart"/>
      <w:r>
        <w:rPr>
          <w:rFonts w:ascii="fira-sans-condensed" w:hAnsi="fira-sans-condensed"/>
          <w:b/>
          <w:bCs/>
          <w:color w:val="212529"/>
        </w:rPr>
        <w:t>Помоћник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>
        <w:rPr>
          <w:rFonts w:ascii="fira-sans-condensed" w:hAnsi="fira-sans-condensed"/>
          <w:b/>
          <w:bCs/>
          <w:color w:val="212529"/>
        </w:rPr>
        <w:t>директора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>
        <w:rPr>
          <w:rFonts w:ascii="fira-sans-condensed" w:hAnsi="fira-sans-condensed"/>
          <w:b/>
          <w:bCs/>
          <w:color w:val="212529"/>
        </w:rPr>
        <w:t>за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>
        <w:rPr>
          <w:rFonts w:ascii="fira-sans-condensed" w:hAnsi="fira-sans-condensed"/>
          <w:b/>
          <w:bCs/>
          <w:color w:val="212529"/>
        </w:rPr>
        <w:t>послове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>
        <w:rPr>
          <w:rFonts w:ascii="fira-sans-condensed" w:hAnsi="fira-sans-condensed"/>
          <w:b/>
          <w:bCs/>
          <w:color w:val="212529"/>
        </w:rPr>
        <w:t>одобравања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>
        <w:rPr>
          <w:rFonts w:ascii="fira-sans-condensed" w:hAnsi="fira-sans-condensed"/>
          <w:b/>
          <w:bCs/>
          <w:color w:val="212529"/>
        </w:rPr>
        <w:t>приређивања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, </w:t>
      </w:r>
      <w:proofErr w:type="spellStart"/>
      <w:r>
        <w:rPr>
          <w:rFonts w:ascii="fira-sans-condensed" w:hAnsi="fira-sans-condensed"/>
          <w:b/>
          <w:bCs/>
          <w:color w:val="212529"/>
        </w:rPr>
        <w:t>финансијске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, </w:t>
      </w:r>
      <w:proofErr w:type="spellStart"/>
      <w:r>
        <w:rPr>
          <w:rFonts w:ascii="fira-sans-condensed" w:hAnsi="fira-sans-condensed"/>
          <w:b/>
          <w:bCs/>
          <w:color w:val="212529"/>
        </w:rPr>
        <w:t>правне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и </w:t>
      </w:r>
      <w:proofErr w:type="spellStart"/>
      <w:r>
        <w:rPr>
          <w:rFonts w:ascii="fira-sans-condensed" w:hAnsi="fira-sans-condensed"/>
          <w:b/>
          <w:bCs/>
          <w:color w:val="212529"/>
        </w:rPr>
        <w:t>опште</w:t>
      </w:r>
      <w:proofErr w:type="spellEnd"/>
      <w:r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>
        <w:rPr>
          <w:rFonts w:ascii="fira-sans-condensed" w:hAnsi="fira-sans-condensed"/>
          <w:b/>
          <w:bCs/>
          <w:color w:val="212529"/>
        </w:rPr>
        <w:t>послове</w:t>
      </w:r>
      <w:proofErr w:type="spellEnd"/>
    </w:p>
    <w:p w14:paraId="4246297C" w14:textId="77777777" w:rsidR="00667EE4" w:rsidRDefault="00667EE4" w:rsidP="00667EE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 w:hint="eastAsia"/>
          <w:color w:val="212529"/>
          <w:lang w:val="sr-Cyrl-RS"/>
        </w:rPr>
        <w:t>Р</w:t>
      </w:r>
      <w:r>
        <w:rPr>
          <w:rFonts w:ascii="fira-sans-condensed" w:hAnsi="fira-sans-condensed"/>
          <w:color w:val="212529"/>
          <w:lang w:val="sr-Cyrl-RS"/>
        </w:rPr>
        <w:t>адно место није попуњено.</w:t>
      </w:r>
    </w:p>
    <w:p w14:paraId="18B25CA8" w14:textId="77777777" w:rsidR="00AA73D9" w:rsidRDefault="00AA73D9" w:rsidP="00AA73D9">
      <w:pPr>
        <w:pStyle w:val="ListParagraph"/>
        <w:ind w:firstLine="720"/>
        <w:jc w:val="both"/>
      </w:pPr>
    </w:p>
    <w:p w14:paraId="0D994E02" w14:textId="77777777" w:rsidR="00AA73D9" w:rsidRDefault="00AA73D9" w:rsidP="00C96BB8">
      <w:pPr>
        <w:pStyle w:val="ListParagraph"/>
        <w:ind w:left="0" w:firstLine="720"/>
        <w:jc w:val="both"/>
      </w:pP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министру</w:t>
      </w:r>
      <w:proofErr w:type="spellEnd"/>
      <w:r>
        <w:t>.</w:t>
      </w:r>
    </w:p>
    <w:p w14:paraId="4D526650" w14:textId="77777777" w:rsidR="00675F6A" w:rsidRPr="00675F6A" w:rsidRDefault="00667EE4" w:rsidP="00C96BB8">
      <w:pPr>
        <w:tabs>
          <w:tab w:val="left" w:pos="709"/>
          <w:tab w:val="left" w:pos="811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675F6A">
        <w:rPr>
          <w:rFonts w:ascii="Times New Roman" w:hAnsi="Times New Roman" w:cs="Times New Roman"/>
          <w:color w:val="212529"/>
          <w:sz w:val="24"/>
          <w:szCs w:val="24"/>
          <w:lang w:val="sr-Cyrl-RS"/>
        </w:rPr>
        <w:t xml:space="preserve">Опис послова: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Руководи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усклађивања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међународним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стандардима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области рада за коју је надлежан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>;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усмерава,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надзире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унутрашњих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јединица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послове издавања одобрења и сагласности и финансијске,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правне и опште послове и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стара се о правилности 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 xml:space="preserve">примене закона и других прописа од стране наведених организационих јединица Управе;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иницира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доношење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директива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наведена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рада и у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чествује у припреми прописа у области игара на срећу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руководи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финансијског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управљања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о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томе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сачињава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извештаје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координира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сарадњу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управама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саставу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другим државним органима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извештаје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извршавању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сарађује са државним органима и организацијама других земаља у циљу размене искустава у примени прописа у области рада за коју је надлежан;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на националним и међународним скуповима, састанцима, семинарима, обукама у циљу размене искустава и унапређења прописа из области игара на срећу и поступања Управе;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налогу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директора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675F6A" w:rsidRPr="00675F6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D2BDEC1" w14:textId="77777777" w:rsidR="00667EE4" w:rsidRDefault="00667EE4" w:rsidP="00667EE4">
      <w:pPr>
        <w:pStyle w:val="ListParagraph"/>
        <w:rPr>
          <w:b/>
        </w:rPr>
      </w:pPr>
    </w:p>
    <w:p w14:paraId="470D8E32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nasl_4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ЈАВНОСТ РАДА МИНИСТАРСТВА ФИНАНСИЈА – УПРАВЕ ЗА ИГРЕ НА СРЕЋУ</w:t>
      </w:r>
    </w:p>
    <w:bookmarkEnd w:id="3"/>
    <w:p w14:paraId="6E14E635" w14:textId="77777777" w:rsidR="00B03E47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07B7C" w14:textId="77777777" w:rsidR="00C93F48" w:rsidRPr="00C93F48" w:rsidRDefault="00C93F48" w:rsidP="007A4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3F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 органа државне управе је јаван сходно члану 11. Закона о државној управи („Сл. гласник РС“, бр. 79/05...30/18). Органи државне управе дужни су да јавности омогуће увид у свој рад у складу са Законом о слободном приступу информацијама од јавног значаја („Сл. гласник РС“ бр. 120/04...36/10). </w:t>
      </w:r>
    </w:p>
    <w:p w14:paraId="031E242F" w14:textId="77777777" w:rsidR="00B03E47" w:rsidRPr="00B03E47" w:rsidRDefault="00B03E47" w:rsidP="007A48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Радно време Управе за игре на срећу је радним данима од 7:30 до 15:30 часова.</w:t>
      </w:r>
    </w:p>
    <w:p w14:paraId="365ED446" w14:textId="77777777" w:rsidR="00B03E47" w:rsidRPr="00B03E47" w:rsidRDefault="00B03E47" w:rsidP="007A48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Адреса: Омладинских бригада бр. 1, Нови Београд.</w:t>
      </w:r>
    </w:p>
    <w:p w14:paraId="48409112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Тел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011 311 76 39</w:t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  <w:t>011 311 35 32</w:t>
      </w:r>
    </w:p>
    <w:p w14:paraId="700A2D63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011 311 72 93</w:t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  <w:t>011 311 76 45</w:t>
      </w:r>
    </w:p>
    <w:p w14:paraId="517C249A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011 311 15 56</w:t>
      </w:r>
    </w:p>
    <w:p w14:paraId="229508AE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Fax:    011 </w:t>
      </w:r>
      <w:r w:rsidRPr="00B03E47">
        <w:rPr>
          <w:rFonts w:ascii="Times New Roman" w:eastAsia="Calibri" w:hAnsi="Times New Roman" w:cs="Times New Roman"/>
          <w:sz w:val="24"/>
          <w:szCs w:val="24"/>
        </w:rPr>
        <w:t>311 75 72</w:t>
      </w:r>
    </w:p>
    <w:p w14:paraId="626966A1" w14:textId="77777777" w:rsidR="00B03E47" w:rsidRPr="00B03E47" w:rsidRDefault="00B03E47" w:rsidP="00B03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Email: </w:t>
      </w:r>
      <w:r w:rsidR="008812E0">
        <w:fldChar w:fldCharType="begin"/>
      </w:r>
      <w:r w:rsidR="008812E0">
        <w:instrText xml:space="preserve"> HYPERLINK "mailto:igre.na.srecu@uis.gov.rs" </w:instrText>
      </w:r>
      <w:r w:rsidR="008812E0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igre.na.srecu@uis.gov.rs</w:t>
      </w:r>
      <w:r w:rsidR="008812E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00931F2F" w14:textId="77777777" w:rsidR="00B03E47" w:rsidRPr="00B03E47" w:rsidRDefault="00B03E47" w:rsidP="00B03E47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презентација: </w:t>
      </w:r>
      <w:r w:rsidR="008812E0">
        <w:fldChar w:fldCharType="begin"/>
      </w:r>
      <w:r w:rsidR="008812E0">
        <w:instrText xml:space="preserve"> HYPERLINK "http://www.uis.gov.rs" </w:instrText>
      </w:r>
      <w:r w:rsidR="008812E0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www.uis.gov.rs</w:t>
      </w:r>
      <w:r w:rsidR="008812E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272008BF" w14:textId="77777777" w:rsidR="00B03E47" w:rsidRPr="00B03E47" w:rsidRDefault="00B03E47" w:rsidP="00B03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2FC437C" w14:textId="77777777" w:rsidR="00B03E47" w:rsidRPr="00B03E47" w:rsidRDefault="00B03E47" w:rsidP="00B03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Лице овлашћено за поступање по захтевима за приступ информацијама од јавног значаја:</w:t>
      </w:r>
    </w:p>
    <w:p w14:paraId="72B59E95" w14:textId="77777777" w:rsidR="00B03E47" w:rsidRPr="00B03E47" w:rsidRDefault="00B03E47" w:rsidP="00AE23D4">
      <w:pPr>
        <w:spacing w:after="0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Биљана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Мурганић</w:t>
      </w:r>
      <w:proofErr w:type="spellEnd"/>
    </w:p>
    <w:p w14:paraId="3C91BAF8" w14:textId="77777777" w:rsidR="00B03E47" w:rsidRPr="00B03E47" w:rsidRDefault="00B03E47" w:rsidP="00AE23D4">
      <w:pPr>
        <w:spacing w:after="0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Тел: 011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311 76 39 </w:t>
      </w:r>
    </w:p>
    <w:p w14:paraId="3DBE8F7D" w14:textId="77777777" w:rsidR="00C93F48" w:rsidRPr="00B03E47" w:rsidRDefault="00B03E47" w:rsidP="00AE23D4">
      <w:pPr>
        <w:spacing w:after="0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Email: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7" w:history="1">
        <w:r w:rsidR="00C93F48" w:rsidRPr="00B03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igre.na.srecu@uis.gov.rs</w:t>
        </w:r>
      </w:hyperlink>
    </w:p>
    <w:p w14:paraId="46B5C1D7" w14:textId="1077BF5F" w:rsidR="005D2ABE" w:rsidRPr="005D2ABE" w:rsidRDefault="00C93F48" w:rsidP="00B03E47">
      <w:pPr>
        <w:spacing w:after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</w:p>
    <w:p w14:paraId="01D325EF" w14:textId="68D66201" w:rsidR="00C93F48" w:rsidRDefault="00045B51" w:rsidP="00C93F4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C93F48"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Лице овлашћено за </w:t>
      </w:r>
      <w:r w:rsidR="00C93F48">
        <w:rPr>
          <w:rFonts w:ascii="Times New Roman" w:eastAsia="Calibri" w:hAnsi="Times New Roman" w:cs="Times New Roman"/>
          <w:sz w:val="24"/>
          <w:szCs w:val="24"/>
          <w:lang w:val="sr-Cyrl-CS"/>
        </w:rPr>
        <w:t>заштиту података о личности:</w:t>
      </w:r>
    </w:p>
    <w:p w14:paraId="1C62EFD5" w14:textId="47B4A432" w:rsidR="00C93F48" w:rsidRDefault="00045B51" w:rsidP="00045B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="005B18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93F48">
        <w:rPr>
          <w:rFonts w:ascii="Times New Roman" w:eastAsia="Calibri" w:hAnsi="Times New Roman" w:cs="Times New Roman"/>
          <w:sz w:val="24"/>
          <w:szCs w:val="24"/>
          <w:lang w:val="sr-Cyrl-CS"/>
        </w:rPr>
        <w:t>Јелена Божовић</w:t>
      </w:r>
    </w:p>
    <w:p w14:paraId="1A978617" w14:textId="780BDAEB" w:rsidR="00C93F48" w:rsidRDefault="00045B51" w:rsidP="00045B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="005B18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93F48">
        <w:rPr>
          <w:rFonts w:ascii="Times New Roman" w:eastAsia="Calibri" w:hAnsi="Times New Roman" w:cs="Times New Roman"/>
          <w:sz w:val="24"/>
          <w:szCs w:val="24"/>
          <w:lang w:val="sr-Cyrl-CS"/>
        </w:rPr>
        <w:t>Тел: 011 311 72 93</w:t>
      </w:r>
    </w:p>
    <w:p w14:paraId="41FFE451" w14:textId="79DA5185" w:rsidR="00C93F48" w:rsidRDefault="00045B51" w:rsidP="00045B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B18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93F48">
        <w:rPr>
          <w:rFonts w:ascii="Times New Roman" w:eastAsia="Calibri" w:hAnsi="Times New Roman" w:cs="Times New Roman"/>
          <w:sz w:val="24"/>
          <w:szCs w:val="24"/>
        </w:rPr>
        <w:t>Email</w:t>
      </w:r>
      <w:r w:rsidR="00C93F4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="008812E0">
        <w:fldChar w:fldCharType="begin"/>
      </w:r>
      <w:r w:rsidR="008812E0">
        <w:instrText xml:space="preserve"> HYPERLINK "mailto:lzzpol@uis.gov.rs" </w:instrText>
      </w:r>
      <w:r w:rsidR="008812E0">
        <w:fldChar w:fldCharType="separate"/>
      </w:r>
      <w:r w:rsidR="00E55734" w:rsidRPr="00B37FBE">
        <w:rPr>
          <w:rStyle w:val="Hyperlink"/>
          <w:rFonts w:ascii="Times New Roman" w:eastAsia="Calibri" w:hAnsi="Times New Roman" w:cs="Times New Roman"/>
          <w:sz w:val="24"/>
          <w:szCs w:val="24"/>
          <w:lang w:val="sr-Latn-RS"/>
        </w:rPr>
        <w:t>lzzpol</w:t>
      </w:r>
      <w:r w:rsidR="00E55734" w:rsidRPr="00B37FBE">
        <w:rPr>
          <w:rStyle w:val="Hyperlink"/>
          <w:rFonts w:ascii="Times New Roman" w:eastAsia="Calibri" w:hAnsi="Times New Roman" w:cs="Times New Roman"/>
          <w:sz w:val="24"/>
          <w:szCs w:val="24"/>
        </w:rPr>
        <w:t>@uis.gov.rs</w:t>
      </w:r>
      <w:r w:rsidR="008812E0">
        <w:rPr>
          <w:rStyle w:val="Hyperlink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10E6C79A" w14:textId="77777777" w:rsidR="00C93F48" w:rsidRPr="00C93F48" w:rsidRDefault="00C93F48" w:rsidP="00B03E47">
      <w:pPr>
        <w:spacing w:after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</w:pPr>
    </w:p>
    <w:p w14:paraId="00842010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nasl_5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ЧЛАНСТВО У МЕЂУНАРОДНИМ ОРГАНИЗАЦИЈАМА</w:t>
      </w:r>
    </w:p>
    <w:bookmarkEnd w:id="4"/>
    <w:p w14:paraId="67CEB35E" w14:textId="77777777" w:rsidR="00B03E47" w:rsidRPr="00B03E47" w:rsidRDefault="00B03E47" w:rsidP="00B03E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7FC407C5" w14:textId="37E45F6D" w:rsidR="00B03E47" w:rsidRPr="00B03E47" w:rsidRDefault="00B03E47" w:rsidP="00B03E47">
      <w:pPr>
        <w:spacing w:after="0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Управа за игре на срећу је дана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21.02.2020.године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постала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придружени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Европског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форума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регулатора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игара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Cs/>
          <w:sz w:val="24"/>
          <w:szCs w:val="24"/>
        </w:rPr>
        <w:t>GREF (Gaming Regulators European Forum)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1E6B0814" w14:textId="77777777" w:rsidR="00B03E47" w:rsidRDefault="00B03E47" w:rsidP="00B03E47">
      <w:pPr>
        <w:spacing w:after="0"/>
        <w:ind w:firstLine="480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sr-Latn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Интернет страница: </w:t>
      </w:r>
      <w:r w:rsidR="008812E0">
        <w:fldChar w:fldCharType="begin"/>
      </w:r>
      <w:r w:rsidR="008812E0">
        <w:instrText xml:space="preserve"> HYPERLINK "http://www.gref.net" </w:instrText>
      </w:r>
      <w:r w:rsidR="008812E0">
        <w:fldChar w:fldCharType="separate"/>
      </w:r>
      <w:r w:rsidR="00C93F48" w:rsidRPr="00D5516D">
        <w:rPr>
          <w:rStyle w:val="Hyperlink"/>
          <w:rFonts w:ascii="Times New Roman" w:eastAsia="Calibri" w:hAnsi="Times New Roman" w:cs="Times New Roman"/>
          <w:bCs/>
          <w:sz w:val="24"/>
          <w:szCs w:val="24"/>
        </w:rPr>
        <w:t>www.gref</w:t>
      </w:r>
      <w:r w:rsidR="00C93F48" w:rsidRPr="00D5516D">
        <w:rPr>
          <w:rStyle w:val="Hyperlink"/>
          <w:rFonts w:ascii="Times New Roman" w:eastAsia="Calibri" w:hAnsi="Times New Roman" w:cs="Times New Roman"/>
          <w:bCs/>
          <w:sz w:val="24"/>
          <w:szCs w:val="24"/>
          <w:lang w:val="sr-Latn-RS"/>
        </w:rPr>
        <w:t>.net</w:t>
      </w:r>
      <w:r w:rsidR="008812E0">
        <w:rPr>
          <w:rStyle w:val="Hyperlink"/>
          <w:rFonts w:ascii="Times New Roman" w:eastAsia="Calibri" w:hAnsi="Times New Roman" w:cs="Times New Roman"/>
          <w:bCs/>
          <w:sz w:val="24"/>
          <w:szCs w:val="24"/>
          <w:lang w:val="sr-Latn-RS"/>
        </w:rPr>
        <w:fldChar w:fldCharType="end"/>
      </w:r>
    </w:p>
    <w:p w14:paraId="0B21B652" w14:textId="77777777" w:rsidR="004E7B32" w:rsidRPr="00B03E47" w:rsidRDefault="004E7B32" w:rsidP="00B03E47">
      <w:pPr>
        <w:spacing w:after="0"/>
        <w:ind w:firstLine="480"/>
        <w:rPr>
          <w:rFonts w:ascii="Times New Roman" w:eastAsia="Calibri" w:hAnsi="Times New Roman" w:cs="Times New Roman"/>
          <w:sz w:val="24"/>
          <w:szCs w:val="24"/>
        </w:rPr>
      </w:pPr>
    </w:p>
    <w:p w14:paraId="275C0D1B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nasl_6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НАЈЧЕШЋЕ ТРАЖЕНЕ ИНФОРМАЦИЈЕ ОД ЈАВНОГ ЗНАЧАЈА</w:t>
      </w:r>
    </w:p>
    <w:bookmarkEnd w:id="5"/>
    <w:p w14:paraId="116F89D2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6FBED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већини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случајева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писаним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упућивањем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2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приступ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реч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врстама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најчешће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интересовања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онe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углавном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укупно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уплаћеним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накнадама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одобрење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броју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аутомата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броју уплатно-исплатних места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слично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FBAD9B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број приређивача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посебних игара на срећу у играчницама је 2.</w:t>
      </w:r>
    </w:p>
    <w:p w14:paraId="573FEC8C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одобрење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игара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клађење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29D83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одобрење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посебних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игара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C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17E96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одобрење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ебних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игара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аутоматима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5522C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20BB9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уплатно-исплатних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игара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клађење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9B">
        <w:rPr>
          <w:rFonts w:ascii="Times New Roman" w:eastAsia="Times New Roman" w:hAnsi="Times New Roman" w:cs="Times New Roman"/>
          <w:sz w:val="24"/>
          <w:szCs w:val="24"/>
        </w:rPr>
        <w:t>2.528</w:t>
      </w:r>
    </w:p>
    <w:p w14:paraId="26A879C5" w14:textId="77777777" w:rsidR="00B03E47" w:rsidRPr="00C7479B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Укупан број локација за приређивање посебних игара на срећу на аутоматима је </w:t>
      </w:r>
      <w:r w:rsidR="00C7479B">
        <w:rPr>
          <w:rFonts w:ascii="Times New Roman" w:eastAsia="Times New Roman" w:hAnsi="Times New Roman" w:cs="Times New Roman"/>
          <w:sz w:val="24"/>
          <w:szCs w:val="24"/>
          <w:lang w:val="sr-Latn-RS"/>
        </w:rPr>
        <w:t>2.647</w:t>
      </w:r>
    </w:p>
    <w:p w14:paraId="285451EF" w14:textId="77777777" w:rsidR="00B03E47" w:rsidRPr="00B03E47" w:rsidRDefault="00B03E47" w:rsidP="00B03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аутомата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игара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приређивача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9B">
        <w:rPr>
          <w:rFonts w:ascii="Times New Roman" w:eastAsia="Times New Roman" w:hAnsi="Times New Roman" w:cs="Times New Roman"/>
          <w:sz w:val="24"/>
          <w:szCs w:val="24"/>
        </w:rPr>
        <w:t>33.141</w:t>
      </w:r>
      <w:r w:rsidR="000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аутомат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80FB9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FF424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nasl_7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ОПИС НАДЛЕЖНОСТИ, ОВЛАШЋЕЊА И ОБАВЕЗА</w:t>
      </w:r>
      <w:bookmarkEnd w:id="6"/>
    </w:p>
    <w:p w14:paraId="06A5CAF2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74C6E" w14:textId="73B172E2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566A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. 95/2018)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почела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BD960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3E47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. 18/2020)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надлежност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F014D" w14:textId="3EDF5204" w:rsidR="00B03E47" w:rsidRPr="00B03E47" w:rsidRDefault="00B03E47" w:rsidP="00B03E47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Управа самостално обавља послове државне управе у области игара на срећу на целокупној територији Републике Србије на начин којим се обезбеђује функционално јединство у спровођењу прописа у области игара на срећу, а уколико се обављање послова врши применом информационо-комуникационих технологија, Управа те послове обавља преко софтверског решења којим самостално управља, уз техничку подршку службе Владе која је надлежна за пројектовање, усклађивање, развој и функционисање система електронске управе</w:t>
      </w:r>
      <w:r w:rsidR="00A83750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5DE1E779" w14:textId="77777777" w:rsidR="00B03E47" w:rsidRPr="00B03E47" w:rsidRDefault="00B03E47" w:rsidP="00B03E47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Приликом обављања послова државне управе у области игара на срећу, Управа прибавља податке неопходне за одлучивање од имаоца података, повезивањем службених евиденција, односно електронском разменом података са државним органима или организацијама које њима располажу.</w:t>
      </w:r>
    </w:p>
    <w:p w14:paraId="3E79FA94" w14:textId="77777777" w:rsidR="00B03E47" w:rsidRPr="00B03E47" w:rsidRDefault="00BB0962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Сходно Закону о играма на срећу,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8ECFA3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1)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утврђује предлог каталога о врстама игара на срећу, који доноси министар финансија;</w:t>
      </w:r>
    </w:p>
    <w:p w14:paraId="49C0922E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2)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даје и одузима одобрења, односно сагласности за приређивање игара на срећу у складу са овим законом;</w:t>
      </w:r>
    </w:p>
    <w:p w14:paraId="7BB4D31D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3)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утврђује висину накнада за које даје одобрења и сагласности;</w:t>
      </w:r>
    </w:p>
    <w:p w14:paraId="6313E8A8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lastRenderedPageBreak/>
        <w:t>4)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врши надзор над применом одредаба закона и других прописа у области игара на срећу, као и контролу спречавања прања новца и финансирања тероризма у области игара на срећу;</w:t>
      </w:r>
    </w:p>
    <w:p w14:paraId="0DD16F3E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5)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врши процену вредности наградног фонда за приређивање наградних игара у роби и услугама;</w:t>
      </w:r>
    </w:p>
    <w:p w14:paraId="36A55AD1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6)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 xml:space="preserve">одређује свог представника у комисији за извлачење добитака у класичним играма на срећу када се извлачење добитака обавља у директном ТВ преносу; </w:t>
      </w:r>
    </w:p>
    <w:p w14:paraId="0099CDBC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7)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учествује у припреми прописа из своје надлежности;</w:t>
      </w:r>
    </w:p>
    <w:p w14:paraId="2776558D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8)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води евиденције и регистре о пословима из своје надлежности;</w:t>
      </w:r>
    </w:p>
    <w:p w14:paraId="01BCDB2B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9)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 xml:space="preserve">планира и спроводи обуку запослених; </w:t>
      </w:r>
    </w:p>
    <w:p w14:paraId="4530B08A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10)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обезбеђује јавност у раду;</w:t>
      </w:r>
    </w:p>
    <w:p w14:paraId="77F16AE5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11)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обавља и друге послове у складу са овим и другим законом.</w:t>
      </w:r>
    </w:p>
    <w:p w14:paraId="039EDAAA" w14:textId="77777777" w:rsidR="00B03E47" w:rsidRPr="00B03E47" w:rsidRDefault="00B03E47" w:rsidP="00B03E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76ED3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nasl_8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ОПИС ПОСТУПАЊА У ОКВИРУ НАДЛЕЖНОСТИ, ОВЛАШЋЕЊА И ОБАВЕЗА</w:t>
      </w:r>
    </w:p>
    <w:bookmarkEnd w:id="7"/>
    <w:p w14:paraId="13A6F57C" w14:textId="77777777" w:rsidR="000321E9" w:rsidRDefault="000321E9" w:rsidP="00910D7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7A83E" w14:textId="77777777" w:rsidR="0000252F" w:rsidRPr="00F336CA" w:rsidRDefault="0000252F" w:rsidP="00553382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F336CA">
        <w:rPr>
          <w:rFonts w:ascii="Times New Roman" w:hAnsi="Times New Roman" w:cs="Times New Roman"/>
          <w:sz w:val="24"/>
          <w:szCs w:val="24"/>
          <w:lang w:val="sr-Cyrl-RS"/>
        </w:rPr>
        <w:t>Сходно овлашћењу из Закона, Управа доноси решења којима се дају/одузимају одобрења за приређивање посебних игара на срећу на аутоматима, посебних игара на срећу – клађење и игара на срећу преко средстава електронске комуникације.</w:t>
      </w:r>
    </w:p>
    <w:p w14:paraId="161E3056" w14:textId="77777777" w:rsidR="0000252F" w:rsidRPr="00F336CA" w:rsidRDefault="0000252F" w:rsidP="0000252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r-Cyrl-RS"/>
        </w:rPr>
      </w:pPr>
      <w:r w:rsidRPr="00F336C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r-Cyrl-RS"/>
        </w:rPr>
        <w:t xml:space="preserve">Опис поступања </w:t>
      </w:r>
    </w:p>
    <w:p w14:paraId="1F31169B" w14:textId="22EA8942" w:rsidR="00F336CA" w:rsidRPr="00F336CA" w:rsidRDefault="0000252F" w:rsidP="00F3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Поступање Управе за 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одобрења</w:t>
      </w:r>
      <w:r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започиње подношењем захтева пр</w:t>
      </w:r>
      <w:r w:rsidR="00F336CA"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авног лица</w:t>
      </w:r>
      <w:r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 На основу поднетог захтева и приложених доказа, Управа утврђује испуњеност прописаних услова, и на основу тога доноси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решење. У случају да пр</w:t>
      </w:r>
      <w:r w:rsidR="00A654CD">
        <w:rPr>
          <w:rFonts w:ascii="Times New Roman" w:eastAsia="Calibri" w:hAnsi="Times New Roman" w:cs="Times New Roman"/>
          <w:sz w:val="24"/>
          <w:szCs w:val="24"/>
          <w:lang w:val="sr-Cyrl-RS"/>
        </w:rPr>
        <w:t>авно лице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достави непотпуну документацију, Управа га, на прописан начин, обавештава о томе, и даје му рок да захтев допуни. Уколико пр</w:t>
      </w:r>
      <w:r w:rsidR="00564425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564425">
        <w:rPr>
          <w:rFonts w:ascii="Times New Roman" w:eastAsia="Calibri" w:hAnsi="Times New Roman" w:cs="Times New Roman"/>
          <w:sz w:val="24"/>
          <w:szCs w:val="24"/>
          <w:lang w:val="sr-Cyrl-RS"/>
        </w:rPr>
        <w:t>вно лице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поступи по том обавештењу, Управа </w:t>
      </w:r>
      <w:r w:rsidR="00F336CA"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решењем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одбацује непотпун захтев. Уколико Управа утврди да пр</w:t>
      </w:r>
      <w:r w:rsidR="00F336CA"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авно лице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испуњава прописане услове, доноси решење којим се одбија захтев. У супротном, доноси решење којим </w:t>
      </w:r>
      <w:r w:rsidR="00F336CA"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даје одобрење.</w:t>
      </w:r>
    </w:p>
    <w:p w14:paraId="393CF719" w14:textId="77777777" w:rsidR="0000252F" w:rsidRPr="00F336CA" w:rsidRDefault="00F336CA" w:rsidP="00F336C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</w:t>
      </w:r>
      <w:r w:rsidR="0000252F"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ат</w:t>
      </w:r>
      <w:r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 одобрења,</w:t>
      </w:r>
      <w:r w:rsidR="0000252F"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Управа одузима у поступку покренутом на захтев пра</w:t>
      </w:r>
      <w:r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вног лица</w:t>
      </w:r>
      <w:r w:rsidR="0000252F"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или по службеној дужности.</w:t>
      </w:r>
    </w:p>
    <w:p w14:paraId="72E05C29" w14:textId="77777777" w:rsidR="00A83750" w:rsidRPr="006E3A97" w:rsidRDefault="00A83750" w:rsidP="006E3A97">
      <w:pPr>
        <w:shd w:val="clear" w:color="auto" w:fill="FFFFFF"/>
        <w:spacing w:before="330"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давања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одобрења</w:t>
      </w:r>
      <w:proofErr w:type="spellEnd"/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>за приређивање посебних игара на срећу на аутоматима</w:t>
      </w:r>
    </w:p>
    <w:p w14:paraId="243C882F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1412D25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прилогом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о играма на срећу (у даљем тексту: Закон)</w:t>
      </w: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C6DB58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власничкој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7D950F6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703B64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сачинио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овлашћени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ревизор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порекла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4746B2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62. и 63.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13F9B32" w14:textId="3E586EC3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6)</w:t>
      </w:r>
      <w:r w:rsidR="00AC58D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власништву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лизингу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најмање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њиховој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локацији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смислу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67.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спецификацијом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нумеричких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бројева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налепница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031B9D0" w14:textId="5E64AF2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7)</w:t>
      </w:r>
      <w:r w:rsidR="00AC58D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просторијама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налазити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најмање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EB222B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поновило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тероризма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2EAFBF6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оправданих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разлога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одговорношћу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осуђивани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тренутку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затражити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BD0BD72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2009747" w14:textId="77777777" w:rsidR="00A83750" w:rsidRPr="006E3A97" w:rsidRDefault="00A83750" w:rsidP="00553382">
      <w:pPr>
        <w:shd w:val="clear" w:color="auto" w:fill="FFFFFF"/>
        <w:spacing w:before="330"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давања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одобрења</w:t>
      </w:r>
      <w:proofErr w:type="spellEnd"/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 xml:space="preserve"> за приређивање посебних</w:t>
      </w:r>
      <w:r w:rsid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 xml:space="preserve"> </w:t>
      </w:r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>игара на срећу-клађење</w:t>
      </w:r>
    </w:p>
    <w:p w14:paraId="1BB868F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између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C9FB469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прилогом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78.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5D8CA1A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власничкој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8CE3CDC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B018F9A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сачинио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овлашћени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ревизор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порекла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5EECBF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просторијама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клађења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што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број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кладионица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мањи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77.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За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51334A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списак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уплатно-исплатних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кладионици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CD77216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спецификацијом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нумеричких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бројева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налепница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уплатно-исплатна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0408F2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локацији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објекта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приређују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клађење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смислу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82.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7C0D13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поновило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тероризма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B270319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оправданих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разлога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одговорношћу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осуђивани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тренутку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затражити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2AEA0F0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060DC45" w14:textId="77777777" w:rsidR="00A83750" w:rsidRPr="006E3A97" w:rsidRDefault="00A83750" w:rsidP="00553382">
      <w:pPr>
        <w:shd w:val="clear" w:color="auto" w:fill="FFFFFF"/>
        <w:spacing w:before="330"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давања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одобрења</w:t>
      </w:r>
      <w:proofErr w:type="spellEnd"/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 xml:space="preserve"> за приређивање игара на срећу преко средстава електронске комуникације</w:t>
      </w:r>
    </w:p>
    <w:p w14:paraId="2EEF2F0A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28EC62A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F91A09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идентификације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0C9DD3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прекинуте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играчем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B37D76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опис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чување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(backup);</w:t>
      </w:r>
    </w:p>
    <w:p w14:paraId="684F572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опис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повратак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сачувано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6CF004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се</w:t>
      </w: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E4A9BD5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елаборат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нежељеног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утицаја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учеснике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F48ED6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просторијама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налазити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BC87D0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95.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570817B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82417A9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прилогом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93.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BAC8F4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власничкој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6016B50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F7EB1B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сачинио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овлашћени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ревизор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порекла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A7437D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поновило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тероризма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78EC085" w14:textId="77777777" w:rsidR="00A83750" w:rsidRPr="006E3A97" w:rsidRDefault="00A83750" w:rsidP="00FE305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оправданих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разлога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одговорношћу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осуђивани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тренутку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затражити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A7C7580" w14:textId="77777777" w:rsidR="00A83750" w:rsidRPr="006E3A97" w:rsidRDefault="00A83750" w:rsidP="00FE305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изузев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изричито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B47867" w14:textId="77777777" w:rsidR="006E3A97" w:rsidRPr="006E3A97" w:rsidRDefault="006E3A97" w:rsidP="006E3A97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3A9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Одобрења за приређивање посебних игара на срећу на аутоматима и клађење, као и игара на срећу преко средстава електронске комуникације дају се на рок од 10 година.</w:t>
      </w:r>
    </w:p>
    <w:p w14:paraId="1D7BFD82" w14:textId="77777777" w:rsidR="00B03E47" w:rsidRDefault="006E3A97" w:rsidP="006E3A97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3A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Приређивач може поднети захтев за престанак приређивања. </w:t>
      </w:r>
    </w:p>
    <w:p w14:paraId="38B921E5" w14:textId="77777777" w:rsidR="00F336CA" w:rsidRDefault="00F336CA" w:rsidP="006E3A97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56147A" w14:textId="77777777" w:rsidR="00F336CA" w:rsidRPr="00F336CA" w:rsidRDefault="00F336CA" w:rsidP="00F336C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r-Cyrl-RS"/>
        </w:rPr>
      </w:pPr>
      <w:r w:rsidRPr="00F336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r-Cyrl-RS"/>
        </w:rPr>
        <w:t>Сагласност за приређивање наградне игре у роби и услугама</w:t>
      </w:r>
    </w:p>
    <w:p w14:paraId="4E5C4E55" w14:textId="77777777" w:rsidR="00F336CA" w:rsidRPr="009A3835" w:rsidRDefault="00F336CA" w:rsidP="00F336C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sr-Cyrl-RS"/>
        </w:rPr>
      </w:pPr>
      <w:r w:rsidRPr="009A38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sr-Cyrl-RS"/>
        </w:rPr>
        <w:t>Опис поступања</w:t>
      </w:r>
    </w:p>
    <w:p w14:paraId="4635EDB1" w14:textId="4C4A72CC" w:rsidR="00F336CA" w:rsidRPr="00F3034E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Управа решењем даје сагласност за приређивање наградне игре у роби и услугама</w:t>
      </w:r>
      <w:r w:rsidR="00F3034E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.</w:t>
      </w:r>
    </w:p>
    <w:p w14:paraId="1DEC7ED6" w14:textId="65D24EF4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сагласности</w:t>
      </w:r>
      <w:proofErr w:type="spellEnd"/>
      <w:r w:rsidR="007E109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дужан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наведе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врсту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наградног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фонда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дужину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4CAA1ED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између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осталог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фонду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добитака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спецификацијом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следећа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3CB2ADD5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DC388B7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160A122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3126839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Управа</w:t>
      </w: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доноси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одузимању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роби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услугама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утврди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6435287F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дата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неистинитих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података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65F8F83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уплатио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доспелу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накнаде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B118CB2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правилима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B4F8F62" w14:textId="1CAB53D6" w:rsidR="00A12E30" w:rsidRPr="00A12E30" w:rsidRDefault="00A12E30" w:rsidP="00A12E30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Наградна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игра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трајати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дуже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45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чему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игре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истовремено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63C9337" w14:textId="027EBD18" w:rsid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8A57C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РУКОВОЂЕЊЕ УНУТРАШЊИМ ЈЕДИНИЦАМА</w:t>
      </w:r>
    </w:p>
    <w:p w14:paraId="44214D3B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9C9957" w14:textId="4DC14375" w:rsidR="00B03E47" w:rsidRPr="00B03E47" w:rsidRDefault="00B03E47" w:rsidP="004C5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Радом Управе руковод</w:t>
      </w:r>
      <w:r w:rsidR="004C524D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и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>иректор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Управе, који за свој рад одговара министру</w:t>
      </w:r>
      <w:r w:rsidR="004C524D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. Помоћ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ник директора Управе за свој рад одговара директору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министру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.</w:t>
      </w:r>
    </w:p>
    <w:p w14:paraId="2EB36E55" w14:textId="127CEB80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Радом Одељења руководи начелник 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дељења, радом Одсека руководи шеф Одсека,</w:t>
      </w:r>
      <w:r w:rsidR="009B5241"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радом Групе руководилац Групе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, а који за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свој рад одговарају 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помоћнику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директор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директор</w:t>
      </w:r>
      <w:proofErr w:type="spellEnd"/>
      <w:r w:rsidR="00F13163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у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.</w:t>
      </w:r>
    </w:p>
    <w:p w14:paraId="349C708C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Запослени у Управи за свој рад одговарају непосредном руководиоцу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помоћнику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директора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и директору Управе.</w:t>
      </w:r>
    </w:p>
    <w:p w14:paraId="70967124" w14:textId="77777777" w:rsidR="005617FA" w:rsidRDefault="005617FA" w:rsidP="00561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7F5A74" w14:textId="77777777" w:rsidR="00B03E47" w:rsidRPr="00E90029" w:rsidRDefault="00B03E47" w:rsidP="00E90029">
      <w:pPr>
        <w:pStyle w:val="ListParagraph"/>
        <w:numPr>
          <w:ilvl w:val="0"/>
          <w:numId w:val="2"/>
        </w:numPr>
        <w:rPr>
          <w:b/>
        </w:rPr>
      </w:pPr>
      <w:bookmarkStart w:id="8" w:name="nasl_9"/>
      <w:r w:rsidRPr="00E90029">
        <w:rPr>
          <w:b/>
        </w:rPr>
        <w:t>НАВОЂЕЊЕ ПРОПИСА</w:t>
      </w:r>
    </w:p>
    <w:bookmarkEnd w:id="8"/>
    <w:p w14:paraId="6EBDEF07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787C60C" w14:textId="7B6AD2F8" w:rsidR="00B03E47" w:rsidRPr="00B03E47" w:rsidRDefault="00B03E47" w:rsidP="00B03E4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 вршењу овлашћења и обавеза из своје надлежности, Управа примењује следећ</w:t>
      </w:r>
      <w:r w:rsidR="00653546">
        <w:rPr>
          <w:rFonts w:ascii="Times New Roman" w:eastAsia="Calibri" w:hAnsi="Times New Roman" w:cs="Times New Roman"/>
          <w:sz w:val="24"/>
          <w:szCs w:val="24"/>
          <w:lang w:val="sr-Cyrl-CS"/>
        </w:rPr>
        <w:t>е законе и друге прописе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7EC5806A" w14:textId="77777777" w:rsidR="00B03E47" w:rsidRPr="00B03E47" w:rsidRDefault="00B03E47" w:rsidP="004E7B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Закони:</w:t>
      </w:r>
    </w:p>
    <w:p w14:paraId="79DC5C57" w14:textId="77777777" w:rsidR="00B03E47" w:rsidRPr="00B03E47" w:rsidRDefault="00B03E47" w:rsidP="004E7B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играма на срећу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18/2020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);</w:t>
      </w:r>
    </w:p>
    <w:p w14:paraId="15CF5CEF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спречавању прања новца и финансирања тероризма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113/17 и 91/2019);</w:t>
      </w:r>
    </w:p>
    <w:p w14:paraId="4F2D02E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инспекцијском надзору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36/15,44/2018 –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95/2018);</w:t>
      </w:r>
    </w:p>
    <w:p w14:paraId="0CD46B93" w14:textId="77777777" w:rsid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општем управном поступку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18/2016 и 95/2018 - аутентично тумачење);</w:t>
      </w:r>
    </w:p>
    <w:p w14:paraId="4C2FA737" w14:textId="77777777" w:rsidR="00E015E6" w:rsidRDefault="00E015E6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прекршајима („Сл. гласник РС“ бр. 65/13, 13/16, 98/16-одлука УС и 91/19);</w:t>
      </w:r>
    </w:p>
    <w:p w14:paraId="5B2EC764" w14:textId="77777777" w:rsidR="00902815" w:rsidRPr="00B03E47" w:rsidRDefault="00902815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привредним преступима („Сл. гласник РС“ бр. 101/05)</w:t>
      </w:r>
    </w:p>
    <w:p w14:paraId="2CA41C13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Законик о кривичном поступку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72/2011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35/2019);</w:t>
      </w:r>
    </w:p>
    <w:p w14:paraId="2ED5C917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платама државних службеника и намештеника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62/2006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95/2018</w:t>
      </w:r>
      <w:r w:rsidRPr="00B03E4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A90361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слободном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120/2004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36/2010);</w:t>
      </w:r>
    </w:p>
    <w:p w14:paraId="69772BA6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заштити података о личности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87/2018);</w:t>
      </w:r>
    </w:p>
    <w:p w14:paraId="1BD27AB7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државним службеницима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79/05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95/18 и 157/20);</w:t>
      </w:r>
    </w:p>
    <w:p w14:paraId="74BA782C" w14:textId="77777777" w:rsidR="00B03E47" w:rsidRPr="00F21399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раду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24/05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95/18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аутентично тумачење)</w:t>
      </w:r>
      <w:r w:rsidR="00F21399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30A12AF1" w14:textId="77777777" w:rsidR="00B03E47" w:rsidRPr="00B03E47" w:rsidRDefault="00B03E47" w:rsidP="00B03E4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1F93C3D" w14:textId="77777777" w:rsidR="00B03E47" w:rsidRPr="00B03E47" w:rsidRDefault="00B03E47" w:rsidP="004E7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Уредбе:</w:t>
      </w:r>
    </w:p>
    <w:p w14:paraId="4188BE16" w14:textId="77777777" w:rsidR="00B03E47" w:rsidRPr="00B03E47" w:rsidRDefault="00B03E47" w:rsidP="004E7B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ближим условима, начину и поступку за издавање дозволе за приређивање посебних игара на срећу у играчницама („Сл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 149/2020);</w:t>
      </w:r>
    </w:p>
    <w:p w14:paraId="35F1283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Уредба о условима и начину ангажовања оператера за приређивање класичних игара на срећу и агената за продају срећака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(„Сл. 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149/2020);</w:t>
      </w:r>
    </w:p>
    <w:p w14:paraId="7FA16241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вредновању радне успешности државних службеника („Службени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 2/2019 и 69/2019);</w:t>
      </w:r>
    </w:p>
    <w:p w14:paraId="6D435D5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разврставању радних места и мерилима за опис радних места државних службеника („Службени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 117/05 ... 2/19);</w:t>
      </w:r>
    </w:p>
    <w:p w14:paraId="4C61751A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програму и начину полагања државног стручног испита („Службени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  16/09, 84/14, 81/16, 76/17 и 60/18); </w:t>
      </w:r>
    </w:p>
    <w:p w14:paraId="51D648D3" w14:textId="7C7747F5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Уредба о накнади трошкова и отпремнини државних службеника и намештеника („Сл</w:t>
      </w:r>
      <w:r w:rsidR="005533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 98/07- пречишћен текст, 84/14 и 84/15);</w:t>
      </w:r>
    </w:p>
    <w:p w14:paraId="24B4B373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435512BA" w14:textId="77777777" w:rsidR="00B03E47" w:rsidRPr="00B03E47" w:rsidRDefault="00B03E47" w:rsidP="00B03E4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Правилници:</w:t>
      </w:r>
    </w:p>
    <w:p w14:paraId="31BC3C24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ближим условима за спровођење аудио и видео надзора, начину чувања документације и телесне заштите у играчници, спровођење видео надзора и чување документације у аутомат клубу, односно кладионици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152/20); </w:t>
      </w:r>
    </w:p>
    <w:p w14:paraId="1D5C115D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по аутомату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7012DFEB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по уплатно-исплатном месту у кладионици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1F2530F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садржини евиденција о основицама за обрачунавање и плаћање накнаде за приређивање посебних игара на срећу у играчницама и о садржини месечног обрачуна накнаде за приређивање тих игара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70D4FBB3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за сваку врсту класичне игре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5C8FF29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за посебне игре на срећу преко средстава електронске комуникације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152/20); </w:t>
      </w:r>
    </w:p>
    <w:p w14:paraId="7AF1888E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информационо-комуникационом систему за приређивање посебних игара на срећу на аутоматима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10A66D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информационо-комуникационом систему за приређивање посебних игара на срећу – клађење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CCD5A5E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информационо-комуникационом систему за приређивање посебних игара на срећу преко средстава електронске комуникације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152/20); </w:t>
      </w:r>
    </w:p>
    <w:p w14:paraId="4D10BFE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базе података о лицима која су остварила добитак код приређивача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69E24F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испуњености услова за добијање сагласности за приређивање наградне игре у роби и услугама и начину извештавања о резултатима наградне игре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BFD8FE4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облику и садржини налепнице за означавање и регистрацију стола за игре на срећу, аутомата за игре на срећу и уплатно-исплатног места у кладионици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860E7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испуњености услова за добијање одобрења за приређивање посебних игара на срећу на аутоматима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</w:p>
    <w:p w14:paraId="06E5057B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испуњености услова за добијање одобрења за приређивање посебних игара на срећу – клађење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0FFFE6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услова за добијање одобрења за приређивање посебних игара на срећу преко средстава електронске комуникације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D8E795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условима за обављање поправке столова и аутомата за игре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03E47">
        <w:rPr>
          <w:rFonts w:ascii="Times New Roman" w:eastAsia="Calibri" w:hAnsi="Times New Roman" w:cs="Times New Roman"/>
          <w:sz w:val="24"/>
          <w:szCs w:val="24"/>
        </w:rPr>
        <w:t>2/2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4F390E7A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Правилник о поступку активирања средстава наменског депозита, односно банкарске гаранције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ED45DF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ближим условима, односно садржини правила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9E56E6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техничким и функционалним карактеристикама столова и аутомата за игре на срећу, начину и поступку испитивања испуњености потребних услова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B03E47">
        <w:rPr>
          <w:rFonts w:ascii="Times New Roman" w:eastAsia="Calibri" w:hAnsi="Times New Roman" w:cs="Times New Roman"/>
          <w:sz w:val="24"/>
          <w:szCs w:val="24"/>
        </w:rPr>
        <w:t>/2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</w:rPr>
        <w:t>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4789C0E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ближим условима за чување трајне базе података о лицима која улазе у играчницу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0207B183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врстама игара на срећу (каталог о врстама игара на срећу)</w:t>
      </w:r>
      <w:r w:rsidRPr="00B03E47">
        <w:rPr>
          <w:rFonts w:ascii="Times" w:eastAsia="Calibri" w:hAnsi="Times" w:cs="Times New Roman"/>
          <w:b/>
          <w:color w:val="006633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152/20). </w:t>
      </w:r>
    </w:p>
    <w:p w14:paraId="7C319BB1" w14:textId="77777777" w:rsidR="00B03E47" w:rsidRPr="00B03E47" w:rsidRDefault="00B03E47" w:rsidP="00B03E47">
      <w:pPr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val="sr-Cyrl-CS"/>
        </w:rPr>
      </w:pPr>
    </w:p>
    <w:p w14:paraId="162EE2D8" w14:textId="77777777" w:rsidR="00B03E47" w:rsidRPr="00B03E47" w:rsidRDefault="00B03E47" w:rsidP="004E7B32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Директиве:</w:t>
      </w:r>
    </w:p>
    <w:p w14:paraId="1FC14785" w14:textId="77777777" w:rsidR="00B03E47" w:rsidRPr="00B03E47" w:rsidRDefault="00B03E47" w:rsidP="004E7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о понашању запослених у Управи за игре на срећу и Кодекс понашања државних службеника („Сл. гласник РС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’’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, бр. 29/08, 80/2019 и 32/2020);</w:t>
      </w:r>
    </w:p>
    <w:p w14:paraId="54E184FE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о коришћењу службених возила у Управи за игре на срећу;</w:t>
      </w:r>
    </w:p>
    <w:p w14:paraId="6AB7EFA5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о начину обављања послова јавних набавки у Управи за игре на срећу;</w:t>
      </w:r>
    </w:p>
    <w:p w14:paraId="2D7171F2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у вези контроле забране пушења у просторијама Управе за игре на срећу;</w:t>
      </w:r>
    </w:p>
    <w:p w14:paraId="742D250E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за прековремени рад – поступање у Управи за игре на срећу.</w:t>
      </w:r>
    </w:p>
    <w:p w14:paraId="02F3899E" w14:textId="77777777" w:rsidR="00667EE4" w:rsidRDefault="00667EE4" w:rsidP="00B03E47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53F32BDE" w14:textId="77777777" w:rsidR="00B03E47" w:rsidRPr="00B03E47" w:rsidRDefault="00B03E47" w:rsidP="004E7B32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Одлуке:</w:t>
      </w:r>
    </w:p>
    <w:p w14:paraId="32E6C9B4" w14:textId="77777777" w:rsidR="00B03E47" w:rsidRPr="00B03E47" w:rsidRDefault="00B03E47" w:rsidP="004E7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Одлука о динамици давања дозвола за приређивање посебних игара на срећу у играчницама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146/20); </w:t>
      </w:r>
    </w:p>
    <w:p w14:paraId="5AD4D801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Одлука о контроли забране пушења</w:t>
      </w:r>
      <w:r w:rsidR="005617F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E843B02" w14:textId="77777777" w:rsidR="00114099" w:rsidRDefault="00114099" w:rsidP="004E7B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7AC7A486" w14:textId="77777777" w:rsidR="00B03E47" w:rsidRPr="00B03E47" w:rsidRDefault="00B03E47" w:rsidP="004E7B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Упутства:</w:t>
      </w:r>
    </w:p>
    <w:p w14:paraId="57FF9C25" w14:textId="77777777" w:rsidR="00B03E47" w:rsidRPr="00B03E47" w:rsidRDefault="00B03E47" w:rsidP="004E7B32">
      <w:pPr>
        <w:numPr>
          <w:ilvl w:val="0"/>
          <w:numId w:val="41"/>
        </w:numPr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Упутство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 професионалном понашању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државних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службеника и заштити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интегритета</w:t>
      </w:r>
      <w:r w:rsidR="005617F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4160DD6" w14:textId="77777777" w:rsidR="00B03E47" w:rsidRPr="00B03E47" w:rsidRDefault="00B03E47" w:rsidP="00B03E4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D1D8EC7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9" w:name="nasl_10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УСЛУГЕ КОЈЕ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УПР</w:t>
      </w:r>
      <w:r w:rsidR="00A8375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ВА ЗА ИГРЕ НА СРЕЋУ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ПРУЖА ЗАИНТЕРЕСОВАНИМ ЛИЦИМА</w:t>
      </w:r>
      <w:bookmarkEnd w:id="9"/>
    </w:p>
    <w:p w14:paraId="51FB3F6F" w14:textId="77777777" w:rsidR="00B03E47" w:rsidRPr="00B03E47" w:rsidRDefault="00B03E47" w:rsidP="00B03E47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EBD68AE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о играма на срећу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18/2020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), Управа       даје и одузима одобрења, односно сагласност</w:t>
      </w:r>
      <w:r w:rsidR="003D6238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приређивање игара на срећу. Право на приређивање посебних игара на срећу на аутоматима, посебних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клађење и игара на срећу преко средстава електронске комуникације, преноси се одобрењем које даје Управа за игре на срећу. Право на приређивање наградних игара у роби и услугама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преноси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сагласношћу које даје Управа за игре на срећу. </w:t>
      </w:r>
    </w:p>
    <w:p w14:paraId="3365AF82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B2B12C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10" w:name="nasl_11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ПОСТУПАК РАДИ ПРУЖАЊА УСЛУГА</w:t>
      </w:r>
    </w:p>
    <w:bookmarkEnd w:id="10"/>
    <w:p w14:paraId="2E43BDDA" w14:textId="77777777" w:rsidR="004E7B32" w:rsidRDefault="004E7B32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77D71801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Поступци давања и одузимања одобрења, односно сагласности за приређивање посебних игара на срећу прописани су одредбама Закона о играма на срећу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гласник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18/2020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), као и подзаконским актима чиј</w:t>
      </w:r>
      <w:r w:rsidR="00902815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садржин</w:t>
      </w:r>
      <w:r w:rsidR="00902815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28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може преузети са сајта Управе за игре на срећу </w:t>
      </w:r>
      <w:r w:rsidR="008812E0">
        <w:fldChar w:fldCharType="begin"/>
      </w:r>
      <w:r w:rsidR="008812E0">
        <w:instrText xml:space="preserve"> HYPERLINK "http://www.uis.gov.rs" </w:instrText>
      </w:r>
      <w:r w:rsidR="008812E0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www.uis.gov.rs</w:t>
      </w:r>
      <w:r w:rsidR="008812E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11C0C6F7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Заинтересована лица обраћају се Управи за игре на срећу писменим захтевом, уз који се достављају одговарајући докази у складу са прописима који регулишу област игара на срећу, као и доказ о уплати одговарајуће таксе за сваку врсту захтева.</w:t>
      </w:r>
    </w:p>
    <w:p w14:paraId="2B9DBB16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Захтев се може упутити поштом или непосредно предати у просторијама Управе за игре на срећу у улици Омладинских бригада бр. 1, Нови Београд. Радно време Управе за игре на срећу је сваког радног дана од 7:30 до 15:30 часова.</w:t>
      </w:r>
    </w:p>
    <w:p w14:paraId="5D1F0E29" w14:textId="633619FD" w:rsidR="00B03E47" w:rsidRPr="00B03E47" w:rsidRDefault="00B03E47" w:rsidP="00C153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153CA">
        <w:rPr>
          <w:rFonts w:ascii="Times New Roman" w:eastAsia="Calibri" w:hAnsi="Times New Roman" w:cs="Times New Roman"/>
          <w:sz w:val="24"/>
          <w:szCs w:val="24"/>
          <w:lang w:val="sr-Cyrl-RS"/>
        </w:rPr>
        <w:t>По пријему захтева са прописаним доказима, Управа утврђује испуњеност услова и уколико су они испуњени, доноси решење којим се одобрава приређивање</w:t>
      </w:r>
      <w:r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Решења Управе су коначна у управном поступку и против њих се </w:t>
      </w:r>
      <w:r w:rsidR="00C153CA"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>може</w:t>
      </w:r>
      <w:r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покренути управни спор у року од 30 дана од дана достављања решења.</w:t>
      </w:r>
      <w:r w:rsidR="00914801"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0B6F2C90" w14:textId="788E2EA5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Такса за </w:t>
      </w:r>
      <w:r w:rsidR="00C153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подношење захтева за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добијање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одобрења</w:t>
      </w:r>
      <w:r w:rsidR="00C153CA">
        <w:rPr>
          <w:rFonts w:ascii="Times New Roman" w:eastAsia="Calibri" w:hAnsi="Times New Roman" w:cs="Times New Roman"/>
          <w:sz w:val="24"/>
          <w:szCs w:val="24"/>
          <w:lang w:val="sr-Cyrl-CS"/>
        </w:rPr>
        <w:t>, односно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сагласности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 приређивање</w:t>
      </w:r>
      <w:r w:rsidR="00C153CA">
        <w:rPr>
          <w:rFonts w:ascii="Times New Roman" w:eastAsia="Calibri" w:hAnsi="Times New Roman" w:cs="Times New Roman"/>
          <w:sz w:val="24"/>
          <w:szCs w:val="24"/>
          <w:lang w:val="sr-Cyrl-RS"/>
        </w:rPr>
        <w:t>, као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за све остале поднеске износи 3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0,00 динара.</w:t>
      </w:r>
    </w:p>
    <w:p w14:paraId="430D58D8" w14:textId="50B64FC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Такса за решење о одобравању приређивања игара на срећу, решење којим се утврђује престанак права за приређивање игара на срећу и решење којим се мења решење о одобравању приређивања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износи 5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0,00 динара, на основу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Закона о републичким административним таксама (''Сл</w:t>
      </w:r>
      <w:r w:rsidR="009C1E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гласник РС'', бр.43/03, 51/03..., 83/15, 112/15, 50/16, 61/17, 50/18, 38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/2019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,  86/19, 90/19 – исправка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98/20 - др. </w:t>
      </w:r>
      <w:r w:rsidR="009C1EB2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ропис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144/20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62/21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Тарифе републичких административних такси као саставног дела овог Закона.</w:t>
      </w:r>
    </w:p>
    <w:p w14:paraId="721629B6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</w:p>
    <w:p w14:paraId="78A767AB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11" w:name="nasl_12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ПРЕГЛЕД ПОДАТАКА О ПРУЖЕНИМ УСЛУГАМА</w:t>
      </w:r>
    </w:p>
    <w:bookmarkEnd w:id="11"/>
    <w:p w14:paraId="4941130A" w14:textId="77777777" w:rsidR="00B03E47" w:rsidRPr="00B03E47" w:rsidRDefault="00B03E47" w:rsidP="00B03E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F8A1285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2019. </w:t>
      </w:r>
      <w:proofErr w:type="spellStart"/>
      <w:r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година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</w:tblGrid>
      <w:tr w:rsidR="00B03E47" w:rsidRPr="00B03E47" w14:paraId="0CBCCB9B" w14:textId="77777777" w:rsidTr="00B03E47">
        <w:trPr>
          <w:trHeight w:val="1125"/>
        </w:trPr>
        <w:tc>
          <w:tcPr>
            <w:tcW w:w="675" w:type="dxa"/>
            <w:shd w:val="clear" w:color="auto" w:fill="auto"/>
          </w:tcPr>
          <w:p w14:paraId="7EF564E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72C39E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6B4FEF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тражених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A5691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пружених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</w:tr>
      <w:tr w:rsidR="00B03E47" w:rsidRPr="00B03E47" w14:paraId="670CE10F" w14:textId="77777777" w:rsidTr="00B03E47">
        <w:tc>
          <w:tcPr>
            <w:tcW w:w="675" w:type="dxa"/>
            <w:shd w:val="clear" w:color="auto" w:fill="auto"/>
          </w:tcPr>
          <w:p w14:paraId="41DBBAA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259434C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Решењa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одобрeња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приређивање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игара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срећу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1B9217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14:paraId="7645990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1.400</w:t>
            </w:r>
          </w:p>
        </w:tc>
      </w:tr>
      <w:tr w:rsidR="00B03E47" w:rsidRPr="00B03E47" w14:paraId="4FC2826C" w14:textId="77777777" w:rsidTr="00B03E47">
        <w:tc>
          <w:tcPr>
            <w:tcW w:w="675" w:type="dxa"/>
            <w:shd w:val="clear" w:color="auto" w:fill="auto"/>
          </w:tcPr>
          <w:p w14:paraId="7422E0C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916147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Решењe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одобрења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F1B57D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704D74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41250B5" w14:textId="77777777" w:rsidR="00B03E47" w:rsidRPr="00B03E47" w:rsidRDefault="00B03E47" w:rsidP="00B03E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DAF2A09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2020. </w:t>
      </w:r>
      <w:proofErr w:type="spellStart"/>
      <w:r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година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</w:tblGrid>
      <w:tr w:rsidR="00B03E47" w:rsidRPr="00B03E47" w14:paraId="5906F16A" w14:textId="77777777" w:rsidTr="00B03E47">
        <w:trPr>
          <w:trHeight w:val="1125"/>
        </w:trPr>
        <w:tc>
          <w:tcPr>
            <w:tcW w:w="675" w:type="dxa"/>
            <w:shd w:val="clear" w:color="auto" w:fill="auto"/>
          </w:tcPr>
          <w:p w14:paraId="43EC85E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63D967F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75B33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тражених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69FC7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пружених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</w:p>
        </w:tc>
      </w:tr>
      <w:tr w:rsidR="00B03E47" w:rsidRPr="00B03E47" w14:paraId="2C8CC76C" w14:textId="77777777" w:rsidTr="00B03E47">
        <w:tc>
          <w:tcPr>
            <w:tcW w:w="675" w:type="dxa"/>
            <w:shd w:val="clear" w:color="auto" w:fill="auto"/>
          </w:tcPr>
          <w:p w14:paraId="7A68525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0F2B9D7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Решењa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одобрeња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приређивање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игара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срећу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7457BC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1.255</w:t>
            </w:r>
          </w:p>
        </w:tc>
        <w:tc>
          <w:tcPr>
            <w:tcW w:w="1418" w:type="dxa"/>
            <w:shd w:val="clear" w:color="auto" w:fill="auto"/>
          </w:tcPr>
          <w:p w14:paraId="5FAA8A6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1.255</w:t>
            </w:r>
          </w:p>
        </w:tc>
      </w:tr>
      <w:tr w:rsidR="00B03E47" w:rsidRPr="00B03E47" w14:paraId="3E513007" w14:textId="77777777" w:rsidTr="00B03E47">
        <w:tc>
          <w:tcPr>
            <w:tcW w:w="675" w:type="dxa"/>
            <w:shd w:val="clear" w:color="auto" w:fill="auto"/>
          </w:tcPr>
          <w:p w14:paraId="2FCB359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1D3433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Решењe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одобрења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C63D4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02A357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BAC5FAC" w14:textId="5F5BC225" w:rsidR="00B03E47" w:rsidRDefault="00B03E47" w:rsidP="00B03E4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4DB37097" w14:textId="3441B3D7" w:rsidR="009C1EB2" w:rsidRPr="00F73436" w:rsidRDefault="009C1EB2" w:rsidP="00B03E4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579CFB92" w14:textId="2256F8D8" w:rsidR="00554F2B" w:rsidRDefault="00554F2B" w:rsidP="00B03E4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2D8FF214" w14:textId="77777777" w:rsidR="00F73436" w:rsidRPr="00F73436" w:rsidRDefault="00F73436" w:rsidP="00B03E4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2EDF2F3D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nasl_13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ПОДАЦИ О ПРИХОДИМА И РАСХОДИМА</w:t>
      </w:r>
    </w:p>
    <w:bookmarkEnd w:id="12"/>
    <w:p w14:paraId="43240443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5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843"/>
        <w:gridCol w:w="1418"/>
      </w:tblGrid>
      <w:tr w:rsidR="00B03E47" w:rsidRPr="00B03E47" w14:paraId="24BBBD8E" w14:textId="77777777" w:rsidTr="00B03E47">
        <w:trPr>
          <w:trHeight w:val="20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C454A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класификација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апропријације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F0947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срећу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иницијелни износ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7C4E2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Текућа апропирајација на дан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31.12.2020.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CCE2AF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Извршено – кумулативно на дан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31.12.2020. године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E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16116F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Проценат извршења  на дан 31.12.2020. године</w:t>
            </w:r>
          </w:p>
        </w:tc>
      </w:tr>
      <w:tr w:rsidR="00B03E47" w:rsidRPr="00B03E47" w14:paraId="3B07597F" w14:textId="77777777" w:rsidTr="00B03E47">
        <w:trPr>
          <w:trHeight w:val="2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163BBA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A2342B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5C478F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D629FC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8B0F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EB5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2B37E7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B03E47" w:rsidRPr="00B03E47" w14:paraId="3253D23E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40134C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411 -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додаци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A13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28.770.000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C2A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29.120.000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4008509" w14:textId="358CB4FF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28.916.777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C8F80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E19E430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99,30 %</w:t>
            </w:r>
          </w:p>
        </w:tc>
      </w:tr>
      <w:tr w:rsidR="00B03E47" w:rsidRPr="00B03E47" w14:paraId="74734E07" w14:textId="77777777" w:rsidTr="004D136B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4B565F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доприноси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терет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послодавца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C5F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92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4.859.000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D34F4B6" w14:textId="5F892C42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4.823.340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9A4D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9D82794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99,27 %</w:t>
            </w:r>
          </w:p>
        </w:tc>
      </w:tr>
      <w:tr w:rsidR="00B03E47" w:rsidRPr="00B03E47" w14:paraId="3969BC31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68546B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FB8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449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454.000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239F64" w14:textId="026F21E5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51.000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71D5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11,23 %</w:t>
            </w:r>
          </w:p>
        </w:tc>
      </w:tr>
      <w:tr w:rsidR="00B03E47" w:rsidRPr="00B03E47" w14:paraId="3F39624E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865660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414 -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давања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56F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FB1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689.000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9961FEF" w14:textId="2408CBC8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689.000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DC5B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B03E47" w:rsidRPr="00B03E47" w14:paraId="7605191C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77D1C9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511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664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1.101.000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FDD7400" w14:textId="1FC0126B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637.096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FA2B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57,87 %</w:t>
            </w:r>
          </w:p>
        </w:tc>
      </w:tr>
      <w:tr w:rsidR="00B03E47" w:rsidRPr="00B03E47" w14:paraId="3BE5EB8D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CA1510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416 -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запосленима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посебни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CED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D32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2AB0AA3" w14:textId="21F14413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BAAC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DDD3FD0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B03E47" w:rsidRPr="00B03E47" w14:paraId="585140FE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E8A43A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421 -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702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3.210.000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663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3.210.000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64EB129" w14:textId="4A4F5574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1.045.500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2453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32,57 %</w:t>
            </w:r>
          </w:p>
        </w:tc>
      </w:tr>
      <w:tr w:rsidR="00B03E47" w:rsidRPr="00B03E47" w14:paraId="14BB1A48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0373CF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путовања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CB9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3.753.000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431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3.378.000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12DA945" w14:textId="5F646505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56.598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5C5C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1,68 %</w:t>
            </w:r>
          </w:p>
        </w:tc>
      </w:tr>
      <w:tr w:rsidR="00B03E47" w:rsidRPr="00B03E47" w14:paraId="7255492D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8EBE77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999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13.900.000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36F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13.867.000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90753A9" w14:textId="20736E0F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8.132.708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6CBC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58,65 %</w:t>
            </w:r>
          </w:p>
        </w:tc>
      </w:tr>
      <w:tr w:rsidR="00B03E47" w:rsidRPr="00B03E47" w14:paraId="0DB07C30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CE53E3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424 -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Специјализоване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331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515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27A76F5" w14:textId="5217E33F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749D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B03E47" w:rsidRPr="00B03E47" w14:paraId="30FEF034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698E60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Текуће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поправке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456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7C7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1.001.000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E0552C5" w14:textId="21E21F50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659.492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273C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65,88 %</w:t>
            </w:r>
          </w:p>
        </w:tc>
      </w:tr>
      <w:tr w:rsidR="00B03E47" w:rsidRPr="00B03E47" w14:paraId="239D142B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F51D8B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426 -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34C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4.615.000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8EE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4.615.000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9E61600" w14:textId="237CFB2C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2.860.887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CEED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61,99 %</w:t>
            </w:r>
          </w:p>
        </w:tc>
      </w:tr>
      <w:tr w:rsidR="00B03E47" w:rsidRPr="00B03E47" w14:paraId="4D2F6275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C1B86B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Дотације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међународним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организацијама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22A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E95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F2C912E" w14:textId="7443449D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47.200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79F0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1B4B924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31,47 %</w:t>
            </w:r>
          </w:p>
        </w:tc>
      </w:tr>
      <w:tr w:rsidR="00B03E47" w:rsidRPr="00B03E47" w14:paraId="7762A561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DE10E2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Порези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таксе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AED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17F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402.000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E317994" w14:textId="175CFAFC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53.833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F483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ADE25F3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13,39 %</w:t>
            </w:r>
          </w:p>
        </w:tc>
      </w:tr>
      <w:tr w:rsidR="00B03E47" w:rsidRPr="00B03E47" w14:paraId="65117103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E6F6CB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Новчане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0A6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6A9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19892B3" w14:textId="2F3B4746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C76D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12F77BE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B03E47" w:rsidRPr="00B03E47" w14:paraId="458A9390" w14:textId="77777777" w:rsidTr="004D136B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9297AB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штете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повреде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штету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нанету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државних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D87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0AD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DF92623" w14:textId="0ED68455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D77D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1AFE140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361446C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B03E47" w:rsidRPr="00B03E47" w14:paraId="374269BC" w14:textId="77777777" w:rsidTr="004D136B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04BDB3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511-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грађевински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објекти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E05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34B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47C1DA8" w14:textId="7FE1C9AD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9351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B03E47" w:rsidRPr="00B03E47" w14:paraId="6304DE29" w14:textId="77777777" w:rsidTr="004D136B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DF2CF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AC4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98.798.000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2FB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98.798.000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23CF026" w14:textId="785808B1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90.498.719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CC20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91,60 %</w:t>
            </w:r>
          </w:p>
        </w:tc>
      </w:tr>
      <w:tr w:rsidR="00B03E47" w:rsidRPr="00B03E47" w14:paraId="2F5ED7C4" w14:textId="77777777" w:rsidTr="004D136B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CCBB25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Нематеријална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имовина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BA6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178.101.000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F89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178.101.000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E0F582D" w14:textId="133AF1BE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177.706.648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8D7E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99,78 %</w:t>
            </w:r>
          </w:p>
        </w:tc>
      </w:tr>
      <w:tr w:rsidR="00B03E47" w:rsidRPr="00B03E47" w14:paraId="0A3A3FDB" w14:textId="77777777" w:rsidTr="004D136B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4884E7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C38453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340.197.000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5C50C9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340.197.000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238148D0" w14:textId="3FDAC4F2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315.489.838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1786" w14:textId="77777777" w:rsidR="00B03E47" w:rsidRPr="00B03E47" w:rsidRDefault="00B03E47" w:rsidP="004D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92,74 %</w:t>
            </w:r>
          </w:p>
        </w:tc>
      </w:tr>
    </w:tbl>
    <w:p w14:paraId="5E33F8E8" w14:textId="77777777" w:rsidR="004D0155" w:rsidRDefault="004D0155" w:rsidP="00B03E47">
      <w:pP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7B075AB" w14:textId="77777777" w:rsidR="00B03E47" w:rsidRPr="00B03E47" w:rsidRDefault="00B03E47" w:rsidP="004D0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Буџет Управе за игре на срећу за 2021. годину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759"/>
        <w:gridCol w:w="3053"/>
      </w:tblGrid>
      <w:tr w:rsidR="00B03E47" w:rsidRPr="00B03E47" w14:paraId="019250AF" w14:textId="77777777" w:rsidTr="00B03E47">
        <w:trPr>
          <w:trHeight w:val="102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F1B67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класификација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апропријације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EB290B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срећу-буџет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21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иницијални износ</w:t>
            </w:r>
          </w:p>
        </w:tc>
      </w:tr>
      <w:tr w:rsidR="00B03E47" w:rsidRPr="00B03E47" w14:paraId="6A0228B3" w14:textId="77777777" w:rsidTr="00B03E47">
        <w:trPr>
          <w:trHeight w:val="27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52DFA33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FE47250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E47" w:rsidRPr="00B03E47" w14:paraId="5408C6C4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FE0395C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411 -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додаци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7291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62343D65" w14:textId="77777777" w:rsidTr="00B03E47">
        <w:trPr>
          <w:trHeight w:val="4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FBE3FD7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доприноси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терет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послодавца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17DC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025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57576A50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92429E1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5C94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454.000</w:t>
            </w:r>
          </w:p>
        </w:tc>
      </w:tr>
      <w:tr w:rsidR="00B03E47" w:rsidRPr="00B03E47" w14:paraId="50FDBC7C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F966304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414 -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давања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запосленима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7621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689.000</w:t>
            </w:r>
          </w:p>
        </w:tc>
      </w:tr>
      <w:tr w:rsidR="00B03E47" w:rsidRPr="00B03E47" w14:paraId="36C52F3B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134BB7D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671A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1.101.000</w:t>
            </w:r>
          </w:p>
        </w:tc>
      </w:tr>
      <w:tr w:rsidR="00B03E47" w:rsidRPr="00B03E47" w14:paraId="10E7C469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5B1BBA8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416 -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запосленима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посебни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F1F9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1.000</w:t>
            </w:r>
          </w:p>
        </w:tc>
      </w:tr>
      <w:tr w:rsidR="00B03E47" w:rsidRPr="00B03E47" w14:paraId="16B60392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666B9A7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421 -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F669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879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050D09B4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FB3C151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путовања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32FF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4C9CBBFB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039E02F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уговору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41D8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0.000</w:t>
            </w:r>
          </w:p>
        </w:tc>
      </w:tr>
      <w:tr w:rsidR="00B03E47" w:rsidRPr="00B03E47" w14:paraId="053E399D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3E47516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424 -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Специјализоване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8BDB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591958C1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F34E279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Текуће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поправке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1CC3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0810D575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C6EBDF4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426 -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0B4F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470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217F69CA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8D99172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Дотације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међународним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организацијама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6EC6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150.000</w:t>
            </w:r>
          </w:p>
        </w:tc>
      </w:tr>
      <w:tr w:rsidR="00B03E47" w:rsidRPr="00B03E47" w14:paraId="3E305DC9" w14:textId="77777777" w:rsidTr="00B03E47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00A2547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Порези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таксе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E5CB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551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6BBB0969" w14:textId="77777777" w:rsidTr="00B03E47">
        <w:trPr>
          <w:trHeight w:val="71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08AB4F8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Новчане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судова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7CD6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150.000</w:t>
            </w:r>
          </w:p>
        </w:tc>
      </w:tr>
      <w:tr w:rsidR="00B03E47" w:rsidRPr="00B03E47" w14:paraId="1F0209C6" w14:textId="77777777" w:rsidTr="00B03E47">
        <w:trPr>
          <w:trHeight w:val="72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1650206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штете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повреде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штету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нанету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државних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63D8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300.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000</w:t>
            </w:r>
          </w:p>
        </w:tc>
      </w:tr>
      <w:tr w:rsidR="00B03E47" w:rsidRPr="00B03E47" w14:paraId="032A68C7" w14:textId="77777777" w:rsidTr="00B03E47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C3DA7AB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511-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грађевински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објекти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05D4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E47" w:rsidRPr="00B03E47" w14:paraId="425D33A8" w14:textId="77777777" w:rsidTr="00B03E47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D02527E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опрема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6818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820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7D8FF8E2" w14:textId="77777777" w:rsidTr="00B03E47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C93818C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Нематеријална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имовина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9B00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03E47" w:rsidRPr="00B03E47" w14:paraId="68583DC5" w14:textId="77777777" w:rsidTr="00B03E47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74BE48C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8B9ECF" w14:textId="77777777" w:rsidR="00B03E47" w:rsidRPr="00B03E47" w:rsidRDefault="00B03E47" w:rsidP="00B0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7.000</w:t>
            </w:r>
          </w:p>
        </w:tc>
      </w:tr>
    </w:tbl>
    <w:p w14:paraId="1C468EDA" w14:textId="77777777" w:rsidR="00B03E47" w:rsidRPr="00B03E47" w:rsidRDefault="00B03E47" w:rsidP="00B03E47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9E30454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nasl_14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ЈАВНИМ НАБАВКАМА</w:t>
      </w:r>
    </w:p>
    <w:bookmarkEnd w:id="13"/>
    <w:p w14:paraId="752A0120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77A1711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right="-27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У 20</w:t>
      </w:r>
      <w:r w:rsidRPr="00B03E47">
        <w:rPr>
          <w:rFonts w:ascii="Times New Roman" w:eastAsia="Calibri" w:hAnsi="Times New Roman" w:cs="Times New Roman"/>
          <w:sz w:val="24"/>
          <w:szCs w:val="24"/>
        </w:rPr>
        <w:t>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одини Управа за игре на срећу спровела је три јавне набавке у отвореном поступку,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две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набавке мале вредности и 27 набавки на које се Закон о јавним набавкама не примењује, од којих је 15 набавки сагласно члану 39. став 2. Закона о јавним набавкама („Службени гласник РС”, бр. 124/12, 14/15 и 68/15) и 12 набавки сагласно члану 27. став 1. тачка 1) Закона о јавним набавкама („Службени гласник РСˮ, број 91/19) и закључен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je 12 уговора преко Управе за заједничке послове (Централизоване јавне набавке).</w:t>
      </w:r>
    </w:p>
    <w:p w14:paraId="51D3DD7D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7E4D6FB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Јавне набавке у отвореном поступку:</w:t>
      </w:r>
    </w:p>
    <w:p w14:paraId="09AE2DBC" w14:textId="77777777" w:rsidR="00B03E47" w:rsidRPr="00B03E47" w:rsidRDefault="00B03E47" w:rsidP="00B03E47">
      <w:pPr>
        <w:numPr>
          <w:ilvl w:val="0"/>
          <w:numId w:val="23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Спроведена је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јавна набавка добара чији је предмет набавке - Нов информациони систем Управе за игре на срећу и контрола приређивача и прихваћена је понуда групе понуђача коју чине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International Consulting and Development d.o.o., Београд,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ул. Теодора Драјзера бр.11E,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Enetel Solutions d.o.o.,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Јужни булевар бр. 10,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Roaming Networks d.o.o,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ул. Облаковска бр. 51, и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MTS Sistemi i integracije d.o.o., Нови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, Булевар Милутина Миланковића бр. 11г. Вредност закљученог уговора је 218.000.000 динара без ПДВ.</w:t>
      </w:r>
    </w:p>
    <w:p w14:paraId="7A1D2F2E" w14:textId="77777777" w:rsidR="00B03E47" w:rsidRPr="00B03E47" w:rsidRDefault="00B03E47" w:rsidP="00B03E47">
      <w:pPr>
        <w:numPr>
          <w:ilvl w:val="0"/>
          <w:numId w:val="23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Спроведена је јавна набавка добара чији је предмет набавке 5 (пет) лиценци - Office Home and Business 2019, трајна лиценца за Office пакет, додељује понуђачу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„САГА” д.o.o. Београд,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Булевар Зорана Ђинђића бр. 64 а. Вредност закљученог уговора је 124.000.000 динара без ПДВ.</w:t>
      </w:r>
    </w:p>
    <w:p w14:paraId="4CA7E628" w14:textId="77777777" w:rsidR="00B03E47" w:rsidRPr="00B03E47" w:rsidRDefault="00B03E47" w:rsidP="00B03E47">
      <w:pPr>
        <w:numPr>
          <w:ilvl w:val="0"/>
          <w:numId w:val="23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14" w:name="_Hlk60129791"/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Спроведена је набавка добра </w:t>
      </w:r>
      <w:bookmarkEnd w:id="14"/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Набавка компјутерског софтвера – набавка нове интернет презентације </w:t>
      </w:r>
      <w:bookmarkStart w:id="15" w:name="_Hlk60129991"/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 прихваћена је понуда понуђача</w:t>
      </w:r>
      <w:bookmarkEnd w:id="15"/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Fatory World Wide d.o.o.,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, ул. Јаше Продановића бр. 28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964.903,87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ПДВ.</w:t>
      </w:r>
    </w:p>
    <w:p w14:paraId="60355C7A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A29AD40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</w:t>
      </w:r>
      <w:proofErr w:type="spellStart"/>
      <w:r w:rsidRPr="00B03E47">
        <w:rPr>
          <w:rFonts w:ascii="Times New Roman" w:eastAsia="Calibri" w:hAnsi="Times New Roman" w:cs="Times New Roman"/>
          <w:b/>
          <w:sz w:val="24"/>
          <w:szCs w:val="24"/>
        </w:rPr>
        <w:t>авн</w:t>
      </w:r>
      <w:proofErr w:type="spellEnd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sz w:val="24"/>
          <w:szCs w:val="24"/>
        </w:rPr>
        <w:t>набавк</w:t>
      </w:r>
      <w:proofErr w:type="spellEnd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sz w:val="24"/>
          <w:szCs w:val="24"/>
        </w:rPr>
        <w:t>мале</w:t>
      </w:r>
      <w:proofErr w:type="spellEnd"/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14:paraId="102618C5" w14:textId="77777777" w:rsidR="00B03E47" w:rsidRPr="00B03E47" w:rsidRDefault="00B03E47" w:rsidP="00B03E47">
      <w:pPr>
        <w:numPr>
          <w:ilvl w:val="0"/>
          <w:numId w:val="2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Спроведена је јавна набавка мале вредности услуга, број ЈНМВ 1.2.2/2019, Уговор о јавној набавци чији је предмет набавке услугa посредовања при куповини авио карата и других путних карата и резервација хотелског смештаја за службена путовања у земљи и иностранству додељује понуђачу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ТТИ д.о.о,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ул. Теразије бр. 16/в. Вредност закљученог уговора је 2.902.732 динара без ПДВ.</w:t>
      </w:r>
    </w:p>
    <w:p w14:paraId="2090EE6C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Раскинут уговор услед промене делатности Даваоца услуге.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14:paraId="73176931" w14:textId="77777777" w:rsidR="00B03E47" w:rsidRPr="00B03E47" w:rsidRDefault="00B03E47" w:rsidP="00B03E47">
      <w:pPr>
        <w:numPr>
          <w:ilvl w:val="0"/>
          <w:numId w:val="2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добра, н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абавка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нафтних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деривата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дебитне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картиц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е,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прихваћена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НИС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а.д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Нови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Сад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Народног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фронта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03E47">
        <w:rPr>
          <w:rFonts w:ascii="Times New Roman" w:eastAsia="Calibri" w:hAnsi="Times New Roman" w:cs="Times New Roman"/>
          <w:sz w:val="24"/>
          <w:szCs w:val="24"/>
        </w:rPr>
        <w:t>12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proofErr w:type="gram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993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525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42B7356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1F491DE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right="-27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lastRenderedPageBreak/>
        <w:tab/>
        <w:t>У поступку набавки на које се Закон о јавним набавкама не примењује сагласано члану 39. став 2. Закона о јавним набавкама („Службени гласник РС”, бр. 124/12, 14/15 и 68/15)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спроведени су следећи поступци:</w:t>
      </w:r>
    </w:p>
    <w:p w14:paraId="4E8CD381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B9ADE66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летњих гума за путнички ауто, Škodа Superb - 4 (четири) комада - виша класа са услугом чувања вансезонских гумa, издата наруџбеница понуђачу „Беогума д.о.о.” Београд, ул. Радничка бр. 2 у вредности од 69.523,33 динара без ПДВ;</w:t>
      </w:r>
    </w:p>
    <w:p w14:paraId="4F529D0F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дезинфекционих средстава, издата наруџбеница понуђачу Апотека Београд, у вредности од 146.209,50 динара без ПДВ;</w:t>
      </w:r>
    </w:p>
    <w:p w14:paraId="2F603685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Претплата за стручну литературу понуђача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Paragraf lex d.o.o.,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ул. Tаковска бр. 42, претплата за 2020. годину, издата наруџбеница у износу од 106.500,00 динара, без ПДВ;</w:t>
      </w:r>
    </w:p>
    <w:p w14:paraId="19185FA4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Набавка услуга прања службених возила које користи Управа за игре на срећу. Закључен уговор са понуђачем,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СЗТР „Miamiˮ Стеван Миковић ПР, Земун,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Џона Кенедија бр. 10 и, у вредности од 70.000,00 динара </w:t>
      </w:r>
      <w:bookmarkStart w:id="16" w:name="_Hlk60136219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без ПДВ</w:t>
      </w:r>
      <w:bookmarkEnd w:id="16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5719C974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једног пројектора, издата наруџбеница понуђачу „Гигатрон”' д.о.о, Београд, ул. Кировљева бр. 17, у вредности од 59.999,17 динара без ПДВ;</w:t>
      </w:r>
    </w:p>
    <w:p w14:paraId="13524DCC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услуга сервисирања службених возила које користи Управа за игре на срећу, уговор закључен са понуђачем Auto centar as plus bgd cars d.o.o.,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Београд, ул. Кружни пут бр. 67, вредност уговора је 429.000,00 динара без ПДВ;</w:t>
      </w:r>
    </w:p>
    <w:p w14:paraId="577F38BD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административног материјала за потребе Управе за игре на срећу:</w:t>
      </w:r>
    </w:p>
    <w:p w14:paraId="46B09C40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слушалице са микрофоном, звучници, камера са микрофоном и хватаљком за LCD монитор, снимање фотогафија, снимање видеа резолуција HD720p, USB, издата наруџбеница понуђачу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Информатика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а.д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Јеврејска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32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у износу од 110.433,00 динара без ПДВ;</w:t>
      </w:r>
    </w:p>
    <w:p w14:paraId="00672B2E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поштанских услуга за потребе Управе за игре на срећу, издата наруџбеница понуђачу ЈП „Пошта Србије”', Београд, ул. Таковска бр. 2 у вредности од 499.999,00 динара без ПДВ;</w:t>
      </w:r>
    </w:p>
    <w:p w14:paraId="10F034B8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услуга израде 7 (седам) службених легитимација за потребе Управе за игре на срећу, издата наруџбеница понуђачу „НБС Завод за израду новчаница и кованог новца - Топчидер”,  Београд, ул. Пионирска бр. 2, у вредности 29.400,00 динара без ПДВ;</w:t>
      </w:r>
    </w:p>
    <w:p w14:paraId="6A232260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Набавка дигиталних фотоапарата, издата наруџбеница понуђачу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FDC Trade,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Београд, ул. Павла Вујисића бр. 80, у вредности од 24.000,00 без ПДВ;</w:t>
      </w:r>
    </w:p>
    <w:p w14:paraId="60EAB989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Набавка два екстерна хард-диска за потребе Управе за игре на срећу, издата наруџбеница понуђачу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Информатика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а.д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Јеврејска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32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у износу од 14.600,00 динара без ПДВ;</w:t>
      </w:r>
    </w:p>
    <w:p w14:paraId="27DCA812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канцеларијског материјала, издата наруџбеница понуђачу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Olicom International d.o.o.,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Београд, ул. Рудо бр. 2/212, у вредности од 56.894,05 динара без ПДВ;</w:t>
      </w:r>
    </w:p>
    <w:p w14:paraId="57287236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осигурања запослених, закључен Уговор за период од 25.05.2020. године до 02.11.202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 са понуђачем Generali osiguranje Srbija a. d., Београд, ул. Владимира Поповића бр. 8, у вредности од 45.044,70 динара без ПДВ;</w:t>
      </w:r>
    </w:p>
    <w:p w14:paraId="45B259E2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Набавка два Рутера, издата наруџбеница понуђачу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Информатика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а.д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Јеврејска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32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у вредности од 30.000,00 динара;</w:t>
      </w:r>
    </w:p>
    <w:p w14:paraId="662F0BE4" w14:textId="77777777" w:rsidR="00B03E47" w:rsidRPr="00B03E47" w:rsidRDefault="00B03E47" w:rsidP="00B03E47">
      <w:pPr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Закључен Уговор о одржавању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NEXTBIZ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рачуноводственог софтвера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са понуђачем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Bit Impeks,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Београд, ул. Љермонтова бр.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13,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 вредности од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154.200,00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динара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35E80D09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8D8A1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right="-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набавки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примењује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сагл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ану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27.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1)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Закона о јавним набавкама („Службени гласник РСˮ, број 91/19)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спроведени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поступци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AB6178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720"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70F49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абавка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два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клима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уређаја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издата наруџбеница понуђачу „Балкан Вик”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Београд, ул. Посавска бр. 23, у вредности од 164.500,00 динара без ПДВ;</w:t>
      </w:r>
    </w:p>
    <w:p w14:paraId="0BA2436E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безбедности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здравља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потребе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понуђачем „Ватроивал”, Београд, ул. Гостиварска бр. 15, у вредности од 152.500,00 динара без ПДВ;</w:t>
      </w:r>
    </w:p>
    <w:p w14:paraId="6B01999E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медицинских (хируршких) маски за потребе запослених у Управи, издата наруџбеница понуђачу „Veledrogerija Vodič”, Београд, ул. Душана Вукасовића бр. 29, у вредности од 53.000,00 динара без ПДВ;</w:t>
      </w:r>
    </w:p>
    <w:p w14:paraId="376F2741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мобилних телефона, издата наруџбеница понуђачу Техноманија д.о.о., Београд, Јужни булевар бр. 10, у вредности од 187.500,00 динара без ПДВ;</w:t>
      </w:r>
    </w:p>
    <w:p w14:paraId="3E41AEF9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Помоћ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путу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ризиком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осигурања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пнеуматика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поправка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пнеуматика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услед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оштећења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трошкова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замене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пнеуматика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новим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половним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)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bookmarkStart w:id="17" w:name="_Hlk60138178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издата наруџбеница понуђачу</w:t>
      </w:r>
      <w:bookmarkEnd w:id="17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Generali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osiguranje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Srbija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a.d.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Нови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142,85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ПДВ;</w:t>
      </w:r>
    </w:p>
    <w:p w14:paraId="78E24F6F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превоза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заплењене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трошкови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транспорта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закључен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 понуђачем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Шлепујемо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Басрак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д.о.о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Земун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Спиртина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2,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416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666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ПДВ;</w:t>
      </w:r>
    </w:p>
    <w:p w14:paraId="1D0E5262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квалификационог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електронског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сертификата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смарт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картици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читачем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смарт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картице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наруџбеница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E-SMART SYSTEMS d.o.o.,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Кнеза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Вишеслава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71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360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ПДВ;</w:t>
      </w:r>
    </w:p>
    <w:p w14:paraId="497B3339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абавка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џепног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бар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скенера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штампача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бар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кодова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ролне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етикета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наруџбеница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Profi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computers d.o.o.,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Далматинска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117/1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33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600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ПДВ;</w:t>
      </w:r>
    </w:p>
    <w:p w14:paraId="1668DF56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продужних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каблова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наруџбеница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Информатика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а.д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Јеврејска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32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000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ПДВ;</w:t>
      </w:r>
    </w:p>
    <w:p w14:paraId="504CA09C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Набавка уљаних радијатора,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наруџбеница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Техноманија д.о.о.,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Јужни Булевар бр. 10, у вредности од 59.000,00 динара без ПДВ;</w:t>
      </w:r>
    </w:p>
    <w:p w14:paraId="26BA6D9F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Набавка ранчева за лаптпове,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наруџбеница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Информатика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а.д</w:t>
      </w:r>
      <w:proofErr w:type="spellEnd"/>
      <w:r w:rsidRPr="00B03E47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Јеврејска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32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</w:rPr>
        <w:t>385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ПДВ;</w:t>
      </w:r>
    </w:p>
    <w:p w14:paraId="590C2448" w14:textId="77777777" w:rsidR="00B03E47" w:rsidRPr="00B03E47" w:rsidRDefault="00B03E47" w:rsidP="00B03E47">
      <w:pPr>
        <w:numPr>
          <w:ilvl w:val="0"/>
          <w:numId w:val="34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Претплата за стручну литературу издавача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„ИПЦ”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– „Финансије”, „Јавне набавке” и „Радни односи”, претплата за 2021. годину,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наруџбеница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Информативно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пословни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центар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д.о.о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Вишеградска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6/II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72.545,45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ПДВ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1D8CED9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426" w:right="-275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2CF96FBE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left="426" w:right="-275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Централизоване јавне набавке УЗЗПРО:</w:t>
      </w:r>
    </w:p>
    <w:p w14:paraId="614AB66C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Закључен уговор са понуђачем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ITS NETWORK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д.о.о,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ул. Врањска бр. 29/19, у поступку јавне набавке број 1/2020 за Партију 5 - Оригинал тонери за Lexmark уређаје, вредност уговора износи 127.300,00 динара без ПДВ;</w:t>
      </w:r>
    </w:p>
    <w:p w14:paraId="0A45468C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Закључен уговор са групом понуђача коју чине </w:t>
      </w:r>
      <w:bookmarkStart w:id="18" w:name="_Hlk60148580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ИНФОРМАТИКА а.д., Београд</w:t>
      </w:r>
      <w:r w:rsidRPr="00B03E47">
        <w:rPr>
          <w:rFonts w:ascii="Times New Roman" w:eastAsia="Calibri" w:hAnsi="Times New Roman" w:cs="Times New Roman"/>
          <w:sz w:val="24"/>
          <w:szCs w:val="24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Јеврејска бр. 32 и </w:t>
      </w:r>
      <w:bookmarkEnd w:id="18"/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Привредно друштво за трговину и услуге,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Вождовац, ул. Браће Јерковић 119а, у поступку јавне набавке број 2/2020 за Партију 11 - Преносни лаптоп уређаји Тип 5, вредност уговора износи 1.939.500,00 динара без ПДВ; </w:t>
      </w:r>
    </w:p>
    <w:p w14:paraId="1EB01F42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групом понуђача коју чине ИНФОРМАТИКА а.д., Београд</w:t>
      </w:r>
      <w:r w:rsidRPr="00B03E47">
        <w:rPr>
          <w:rFonts w:ascii="Times New Roman" w:eastAsia="Calibri" w:hAnsi="Times New Roman" w:cs="Times New Roman"/>
          <w:sz w:val="24"/>
          <w:szCs w:val="24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Јеврејска бр. 32 и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КОМПЈУТЕР ТЕХНИКА, Нови Сад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ул. Бранислава Нушића бр.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10, у поступку јавне набавке број 2/2020 за Партију 4 - Радне станице Тип 4, вредност уговора износи 1.742.000,00 динара са ПДВ; </w:t>
      </w:r>
    </w:p>
    <w:p w14:paraId="65ABFBDE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709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Закључен уговор са групом понуђача коју чине ИНФОРМАТИКА а.д., Београд</w:t>
      </w:r>
      <w:r w:rsidRPr="00B03E47">
        <w:rPr>
          <w:rFonts w:ascii="Times New Roman" w:eastAsia="Calibri" w:hAnsi="Times New Roman" w:cs="Times New Roman"/>
          <w:sz w:val="24"/>
          <w:szCs w:val="24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Јеврејска бр. 32 и </w:t>
      </w:r>
      <w:r w:rsidRPr="00B03E4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AIGO BUSSINES SYSTEM d.o.o. Београд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, ул. Кнегиње Зорке 25 -27, за Партију 18 - Уређаји за штампање Тип 3 (мрежни колор штампач ласер А4), вредност уговора износи 179.500,00 динара без ПДВ;</w:t>
      </w:r>
    </w:p>
    <w:p w14:paraId="11EA6C23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Generali osiguranje Srbija a.d., Нови Београд, Ул. Владимира Поповића бр. 8  у поступку јавне набавке број 11/2020 за Партију 1 – смрт услед незгоде, трајни инвалидитет, трошкови лечења и дневна накнада, вредност уговора износи 58.400,00 динара без ПДВ;</w:t>
      </w:r>
    </w:p>
    <w:p w14:paraId="6943312F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Generali osiguranje Srbija a.d., Нови Београд, ул. Владимира Поповића бр. 8 у поступку јавне набавке број 11/2020 за Партију 2 – Хируршке интервенције и теже болести, вредност уговора износи 77.760,00 динара без ПДВ;</w:t>
      </w:r>
    </w:p>
    <w:p w14:paraId="51C2DA4C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групом понуђача коју чине „AIGO BUSINESS SYSTEM” д.о.о., Београд, ул. Кнегиње Зорке бр. 25-27, носилац посла и члан групе „TEHNICOM INFORMATIKA” d.o.o, Ниш, Булевар Светог Цара Константина бр. 80-86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поступку јавне набавке број 7/2020 за Партију 5 - Одржавање рачунарске опреме тип LENOVO, вредност уговора износи 449.194,00 динара без ПДВ;</w:t>
      </w:r>
    </w:p>
    <w:p w14:paraId="3B3D89F9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Закључен уговор са групом понуђача коју чине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„AIGO BUSINESS SYSTEM”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д.о.о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Кнегиње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Зорке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25-27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носилац посла </w:t>
      </w:r>
      <w:r w:rsidRPr="00B03E47">
        <w:rPr>
          <w:rFonts w:ascii="Times New Roman" w:eastAsia="Calibri" w:hAnsi="Times New Roman" w:cs="Times New Roman"/>
          <w:sz w:val="24"/>
          <w:szCs w:val="24"/>
        </w:rPr>
        <w:t>и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 групе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„SAGA”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Булевар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Зорана Ђинђића бр.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64а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поступку јавне набавке број 7/2020 за Партију 7 - Одржавање штампача тип НР, вредност уговора износи 246.190,00 динара без ПДВ;</w:t>
      </w:r>
    </w:p>
    <w:p w14:paraId="42E2F2AB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Закључен уговор са групом понуђача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MALEX - CITY COPY SERVICE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д.о.о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ул. Мије Ковачевића бр.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10., носилац посла </w:t>
      </w:r>
      <w:r w:rsidRPr="00B03E47">
        <w:rPr>
          <w:rFonts w:ascii="Times New Roman" w:eastAsia="Calibri" w:hAnsi="Times New Roman" w:cs="Times New Roman"/>
          <w:sz w:val="24"/>
          <w:szCs w:val="24"/>
        </w:rPr>
        <w:t>и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 групе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„AIGO BUSINESS SYSTEM”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д.о.о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Кнегиње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Зорке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25-27,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јавне набавке број 7/2020 за Партију 8 -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Одржавање штампача тип LEXMARK, вредност уговора износи 792.400,00 динара без ПДВ;</w:t>
      </w:r>
    </w:p>
    <w:p w14:paraId="17846277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понуђачем ИНФОРМАТИКА а.д., Београд</w:t>
      </w:r>
      <w:r w:rsidRPr="00B03E47">
        <w:rPr>
          <w:rFonts w:ascii="Times New Roman" w:eastAsia="Calibri" w:hAnsi="Times New Roman" w:cs="Times New Roman"/>
          <w:sz w:val="24"/>
          <w:szCs w:val="24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Јеврејска бр. 32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јавне набавке број 7/2020 за Партију 19 -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Одржавање комуникационе опреме CISCO Управе за игре на срећу, вредност уговора износи 78.000,00 динара без ПДВ;</w:t>
      </w:r>
    </w:p>
    <w:p w14:paraId="4CC228A0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 уговор са понуђачем ИНФОРМАТИКА а.д., Београд</w:t>
      </w:r>
      <w:r w:rsidRPr="00B03E47">
        <w:rPr>
          <w:rFonts w:ascii="Times New Roman" w:eastAsia="Calibri" w:hAnsi="Times New Roman" w:cs="Times New Roman"/>
          <w:sz w:val="24"/>
          <w:szCs w:val="24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Јеврејска бр. 32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јавне набавке број 1/2020 за Партију 8 -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Оригинал тонери за oстале уређаје (Brother, DELL, Nashuatec, Toshiba...), вредност уговора износи 80.000,00 динара без ПДВ;</w:t>
      </w:r>
    </w:p>
    <w:p w14:paraId="4F9D6135" w14:textId="77777777" w:rsidR="00B03E47" w:rsidRPr="00B03E47" w:rsidRDefault="00B03E47" w:rsidP="00B03E47">
      <w:pPr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spacing w:after="0" w:line="240" w:lineRule="auto"/>
        <w:ind w:right="-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Закључен уговор са понуђачем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„AIGO BUSINESS SYSTEM”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д.о.о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Кнегиње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Зорке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25-27,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јавне набавке број 1/2020 за Партију 3 -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Оригинал тонери за HP уређаје, вредност уговора износи 174.550,00 динара без ПДВ;</w:t>
      </w:r>
    </w:p>
    <w:p w14:paraId="63A71B59" w14:textId="77777777" w:rsidR="00B03E47" w:rsidRPr="00B03E47" w:rsidRDefault="00B03E47" w:rsidP="00B03E47">
      <w:pPr>
        <w:tabs>
          <w:tab w:val="left" w:pos="-180"/>
          <w:tab w:val="left" w:pos="450"/>
          <w:tab w:val="left" w:pos="993"/>
        </w:tabs>
        <w:spacing w:after="0" w:line="240" w:lineRule="auto"/>
        <w:ind w:right="-275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1B8BED9F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nasl_15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ДРЖАВНОЈ ПОМОЋИ</w:t>
      </w:r>
    </w:p>
    <w:bookmarkEnd w:id="19"/>
    <w:p w14:paraId="6227A82E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BC820" w14:textId="0D243758" w:rsid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одређеним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категоријама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становништва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66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E4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акону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контроли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553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38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ласник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3E47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51/09)</w:t>
      </w:r>
      <w:r w:rsidR="00E35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тачки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34.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Упут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објављивање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информатора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државног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E35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3E47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68/10)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третирају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93E2F" w14:textId="77777777" w:rsidR="002D0537" w:rsidRDefault="002D053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033A4A" w14:textId="77777777" w:rsidR="002D0537" w:rsidRPr="002D0537" w:rsidRDefault="002D053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DFD89D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nasl_16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ИСПЛАЋЕНИМ ПЛАТАМА, НАКНАДАМА И ДРУГИМ ПРИМАЊИМА</w:t>
      </w:r>
    </w:p>
    <w:bookmarkEnd w:id="20"/>
    <w:p w14:paraId="3685CD90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62BE594" w14:textId="52C90795" w:rsidR="00B03E47" w:rsidRPr="00B03E47" w:rsidRDefault="00B03E47" w:rsidP="00B03E4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right="-275" w:firstLine="720"/>
        <w:jc w:val="both"/>
        <w:rPr>
          <w:rFonts w:ascii="TimesNewRomanPS-BoldMT" w:eastAsia="Calibri" w:hAnsi="TimesNewRomanPS-BoldMT" w:cs="TimesNewRomanPS-BoldMT"/>
          <w:bCs/>
          <w:sz w:val="23"/>
          <w:szCs w:val="23"/>
          <w:lang w:val="sr-Latn-RS"/>
        </w:rPr>
      </w:pPr>
      <w:r w:rsidRPr="00B03E47">
        <w:rPr>
          <w:rFonts w:ascii="TimesNewRomanPS-BoldMT" w:eastAsia="Calibri" w:hAnsi="TimesNewRomanPS-BoldMT" w:cs="TimesNewRomanPS-BoldMT"/>
          <w:bCs/>
          <w:sz w:val="23"/>
          <w:szCs w:val="23"/>
          <w:lang w:val="sr-Cyrl-CS"/>
        </w:rPr>
        <w:t xml:space="preserve">Законом о платама државних службеника и намештеника </w:t>
      </w:r>
      <w:r w:rsidRPr="00B03E47">
        <w:rPr>
          <w:rFonts w:ascii="Times New Roman" w:eastAsia="Calibri" w:hAnsi="Times New Roman" w:cs="Times New Roman"/>
          <w:spacing w:val="2"/>
          <w:sz w:val="24"/>
          <w:lang w:val="sr-Cyrl-CS"/>
        </w:rPr>
        <w:t>(„Сл</w:t>
      </w:r>
      <w:r w:rsidR="00553382">
        <w:rPr>
          <w:rFonts w:ascii="Times New Roman" w:eastAsia="Calibri" w:hAnsi="Times New Roman" w:cs="Times New Roman"/>
          <w:spacing w:val="2"/>
          <w:sz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pacing w:val="2"/>
          <w:sz w:val="24"/>
          <w:lang w:val="sr-Cyrl-CS"/>
        </w:rPr>
        <w:t xml:space="preserve"> гласник РС“ бр. 62/06, 63/06, 115/06, 101/07,</w:t>
      </w:r>
      <w:r w:rsidRPr="00B03E47">
        <w:rPr>
          <w:rFonts w:ascii="Times New Roman" w:eastAsia="Calibri" w:hAnsi="Times New Roman" w:cs="Times New Roman"/>
          <w:sz w:val="24"/>
          <w:lang w:val="sr-Cyrl-CS"/>
        </w:rPr>
        <w:t xml:space="preserve"> 99/14 и 95/18</w:t>
      </w:r>
      <w:r w:rsidRPr="00B03E47">
        <w:rPr>
          <w:rFonts w:ascii="Times New Roman" w:eastAsia="Calibri" w:hAnsi="Times New Roman" w:cs="Times New Roman"/>
          <w:spacing w:val="2"/>
          <w:sz w:val="24"/>
          <w:lang w:val="sr-Cyrl-CS"/>
        </w:rPr>
        <w:t>)</w:t>
      </w:r>
      <w:r w:rsidRPr="00B03E47">
        <w:rPr>
          <w:rFonts w:ascii="TimesNewRomanPS-BoldMT" w:eastAsia="Calibri" w:hAnsi="TimesNewRomanPS-BoldMT" w:cs="TimesNewRomanPS-BoldMT"/>
          <w:bCs/>
          <w:sz w:val="23"/>
          <w:szCs w:val="23"/>
          <w:lang w:val="sr-Cyrl-CS"/>
        </w:rPr>
        <w:t>, уређују се плате, накнаде и друга примања државних службеника и намештеника</w:t>
      </w:r>
      <w:r w:rsidRPr="00B03E47">
        <w:rPr>
          <w:rFonts w:ascii="TimesNewRomanPS-BoldMT" w:eastAsia="Calibri" w:hAnsi="TimesNewRomanPS-BoldMT" w:cs="TimesNewRomanPS-BoldMT"/>
          <w:bCs/>
          <w:sz w:val="23"/>
          <w:szCs w:val="23"/>
          <w:lang w:val="sr-Latn-RS"/>
        </w:rPr>
        <w:t>.</w:t>
      </w:r>
    </w:p>
    <w:p w14:paraId="1D13378F" w14:textId="77777777" w:rsidR="00B03E47" w:rsidRPr="00B03E47" w:rsidRDefault="00B03E47" w:rsidP="00B03E47">
      <w:pPr>
        <w:tabs>
          <w:tab w:val="left" w:pos="-180"/>
          <w:tab w:val="left" w:pos="10080"/>
          <w:tab w:val="left" w:pos="10170"/>
        </w:tabs>
        <w:autoSpaceDE w:val="0"/>
        <w:autoSpaceDN w:val="0"/>
        <w:adjustRightInd w:val="0"/>
        <w:spacing w:after="0" w:line="240" w:lineRule="auto"/>
        <w:ind w:right="-275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Средства за плате, накнаде и друга  примања  државних  службеника  и  намештеника обезбеђују се у буџету Републике Србије. </w:t>
      </w:r>
    </w:p>
    <w:p w14:paraId="054725CB" w14:textId="77777777" w:rsidR="00B03E47" w:rsidRPr="00B03E47" w:rsidRDefault="00B03E47" w:rsidP="00B03E47">
      <w:pPr>
        <w:shd w:val="clear" w:color="auto" w:fill="FFFFFF"/>
        <w:tabs>
          <w:tab w:val="left" w:pos="-180"/>
        </w:tabs>
        <w:spacing w:after="0" w:line="240" w:lineRule="auto"/>
        <w:ind w:right="-2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Плата државних службеника и намештеника састоји се од основне плате и додатака на плату.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У плату се урачунавају и порези и доприноси који се плаћају из плате.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Основна плата се одређује множењем коефицијента са основицом за обрачун и исплату плата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Основица је јединствена и утврђује се за сваку буџетску годину законом о буџету Републике Србије.</w:t>
      </w:r>
    </w:p>
    <w:p w14:paraId="1581A31B" w14:textId="77777777" w:rsidR="00B03E47" w:rsidRPr="00B03E47" w:rsidRDefault="00B03E47" w:rsidP="00B03E47">
      <w:pPr>
        <w:shd w:val="clear" w:color="auto" w:fill="FFFFFF"/>
        <w:tabs>
          <w:tab w:val="left" w:pos="-180"/>
        </w:tabs>
        <w:spacing w:after="0" w:line="240" w:lineRule="auto"/>
        <w:ind w:right="-2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Коефицијенти за положаје и извршилачка радна места одређују се т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што се сваки положај и свако извршилачко радно место сврстава у једну од 13 платних група. Положаји се сврставају у платне групе од I до V, а извршилачка радна места у платне групе од VI до XIII. Извршилачко радно место сврстава се у платну групу која одговара звању у које је разврстано.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У свакој платној групи у коју су сврстана извршилачка радна места постоји осам платних разреда.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Платни разреди изражавају напредовање на истом извршилачком радном месту под условима који су одређени овим законом.</w:t>
      </w:r>
    </w:p>
    <w:p w14:paraId="295B0BCA" w14:textId="77777777" w:rsidR="00B03E47" w:rsidRPr="00B03E47" w:rsidRDefault="00B03E47" w:rsidP="00B03E47">
      <w:pPr>
        <w:shd w:val="clear" w:color="auto" w:fill="FFFFFF"/>
        <w:tabs>
          <w:tab w:val="left" w:pos="-180"/>
        </w:tabs>
        <w:spacing w:after="0" w:line="240" w:lineRule="auto"/>
        <w:ind w:right="-2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Коефицијент за положај одређује се према платној групи у којој се налази положај. Коефицијент за извршилачко радно место одређује се према платном разреду платне групе у којој се налази извршилачко радно место.</w:t>
      </w:r>
    </w:p>
    <w:p w14:paraId="447B87D0" w14:textId="77777777" w:rsidR="00B03E47" w:rsidRPr="00B03E47" w:rsidRDefault="00B03E47" w:rsidP="00E35F9B">
      <w:pPr>
        <w:shd w:val="clear" w:color="auto" w:fill="FFFFFF"/>
        <w:spacing w:after="0" w:line="240" w:lineRule="auto"/>
        <w:ind w:left="720" w:right="-275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3E4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Коефицијенти су следећи:</w:t>
      </w:r>
    </w:p>
    <w:tbl>
      <w:tblPr>
        <w:tblW w:w="10170" w:type="dxa"/>
        <w:tblCellSpacing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1"/>
        <w:gridCol w:w="1553"/>
        <w:gridCol w:w="600"/>
        <w:gridCol w:w="600"/>
        <w:gridCol w:w="600"/>
        <w:gridCol w:w="600"/>
        <w:gridCol w:w="600"/>
        <w:gridCol w:w="600"/>
        <w:gridCol w:w="600"/>
        <w:gridCol w:w="666"/>
      </w:tblGrid>
      <w:tr w:rsidR="00B03E47" w:rsidRPr="00B03E47" w14:paraId="3A00D1B4" w14:textId="77777777" w:rsidTr="00B03E47">
        <w:trPr>
          <w:tblCellSpacing w:w="0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FD38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звања</w:t>
            </w:r>
            <w:proofErr w:type="spellEnd"/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3233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8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94BD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</w:p>
        </w:tc>
      </w:tr>
      <w:tr w:rsidR="00B03E47" w:rsidRPr="00B03E47" w14:paraId="57674CBF" w14:textId="77777777" w:rsidTr="00B03E47">
        <w:trPr>
          <w:tblCellSpacing w:w="0" w:type="dxa"/>
        </w:trPr>
        <w:tc>
          <w:tcPr>
            <w:tcW w:w="37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C55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E04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2AC4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629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10D3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6F27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18CA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CD42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2894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9A2B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03E47" w:rsidRPr="00B03E47" w14:paraId="17BAE422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0F2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4E38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884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954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D42A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0848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6E6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1A65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5847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6F7D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14C128E8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980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6723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89DA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2564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6C3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0E7C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627F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7C8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169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5B6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256F5A88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FF6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27CC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84BD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3960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F55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C4F1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4B5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F5E9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A7D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AAEE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623AAF31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E6C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Четврта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26A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C3B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246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FE8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221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AA0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5D5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70F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09C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2A953D62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E8D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FAC8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CED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9321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12F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17A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2DC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B39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8DF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A00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13C8F649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905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8591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E05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738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AB1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393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BF0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357A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E78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016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5,57</w:t>
            </w:r>
          </w:p>
        </w:tc>
      </w:tr>
      <w:tr w:rsidR="00B03E47" w:rsidRPr="00B03E47" w14:paraId="07ABDFBC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F98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93EC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A37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16A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782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89A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98B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B40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BEA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747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4,45</w:t>
            </w:r>
          </w:p>
        </w:tc>
      </w:tr>
      <w:tr w:rsidR="00B03E47" w:rsidRPr="00B03E47" w14:paraId="34E0DC2E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F55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7787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5D3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0BC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BFD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1F1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3F6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12A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C41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B43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3,56</w:t>
            </w:r>
          </w:p>
        </w:tc>
      </w:tr>
      <w:tr w:rsidR="00B03E47" w:rsidRPr="00B03E47" w14:paraId="0A6C2CB7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92A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Млађи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BE27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9B7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C7A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E81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066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CEB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338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A59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87D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2,85</w:t>
            </w:r>
          </w:p>
        </w:tc>
      </w:tr>
      <w:tr w:rsidR="00B03E47" w:rsidRPr="00B03E47" w14:paraId="624785D7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0C8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93251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2BC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A59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66B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EC1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335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ED5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274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A91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2,67</w:t>
            </w:r>
          </w:p>
        </w:tc>
      </w:tr>
      <w:tr w:rsidR="00B03E47" w:rsidRPr="00B03E47" w14:paraId="449DF4B3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6DC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Млађи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7CD5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E11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879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DAC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3C6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D39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8E2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99F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F8F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2,32</w:t>
            </w:r>
          </w:p>
        </w:tc>
      </w:tr>
      <w:tr w:rsidR="00B03E47" w:rsidRPr="00B03E47" w14:paraId="130D70D9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5B5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Референт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9436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DA0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DC1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416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11D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124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68B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FBE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4E6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2,18</w:t>
            </w:r>
          </w:p>
        </w:tc>
      </w:tr>
      <w:tr w:rsidR="00B03E47" w:rsidRPr="00B03E47" w14:paraId="5A47598C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029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Млађи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E2FB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758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745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0AC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A62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C81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051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708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490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1,97</w:t>
            </w:r>
          </w:p>
        </w:tc>
      </w:tr>
    </w:tbl>
    <w:p w14:paraId="7E433F0D" w14:textId="77777777" w:rsidR="00B03E47" w:rsidRPr="00B03E47" w:rsidRDefault="00B03E47" w:rsidP="00B03E47">
      <w:pPr>
        <w:shd w:val="clear" w:color="auto" w:fill="FFFFFF"/>
        <w:spacing w:after="0" w:line="240" w:lineRule="auto"/>
        <w:ind w:right="-133"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D6C4D7" w14:textId="77777777" w:rsidR="00B03E47" w:rsidRPr="00B03E47" w:rsidRDefault="00B03E47" w:rsidP="00B03E47">
      <w:pPr>
        <w:shd w:val="clear" w:color="auto" w:fill="FFFFFF"/>
        <w:spacing w:after="0" w:line="240" w:lineRule="auto"/>
        <w:ind w:left="-142" w:right="-133"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Коефицијент се одређује решењем.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Решењем о коефицијенту одређује се платна група у којој се налази радно место, број платног разреда и висина коефицијента.</w:t>
      </w:r>
    </w:p>
    <w:p w14:paraId="6E4A5454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920DD5" w14:textId="77777777" w:rsidR="00B03E47" w:rsidRPr="00B03E47" w:rsidRDefault="00B03E47" w:rsidP="00B03E47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исплаћеним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платама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децембру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B03E4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2973"/>
        <w:gridCol w:w="3331"/>
      </w:tblGrid>
      <w:tr w:rsidR="00B03E47" w:rsidRPr="00B03E47" w14:paraId="1739B4D0" w14:textId="77777777" w:rsidTr="00B03E47">
        <w:tc>
          <w:tcPr>
            <w:tcW w:w="3032" w:type="dxa"/>
          </w:tcPr>
          <w:p w14:paraId="6A411A04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Исплаћене плате у укупном износу за све запослене</w:t>
            </w:r>
          </w:p>
        </w:tc>
        <w:tc>
          <w:tcPr>
            <w:tcW w:w="3030" w:type="dxa"/>
          </w:tcPr>
          <w:p w14:paraId="5E900835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Бруто износ у динарима</w:t>
            </w:r>
          </w:p>
        </w:tc>
        <w:tc>
          <w:tcPr>
            <w:tcW w:w="3402" w:type="dxa"/>
          </w:tcPr>
          <w:p w14:paraId="5697C3A7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износ у динарима</w:t>
            </w:r>
          </w:p>
        </w:tc>
      </w:tr>
      <w:tr w:rsidR="00B03E47" w:rsidRPr="00B03E47" w14:paraId="41EA248C" w14:textId="77777777" w:rsidTr="00B03E47">
        <w:tc>
          <w:tcPr>
            <w:tcW w:w="3032" w:type="dxa"/>
          </w:tcPr>
          <w:p w14:paraId="1BDA4C8F" w14:textId="77777777" w:rsidR="00B03E47" w:rsidRPr="00B03E47" w:rsidRDefault="00B03E47" w:rsidP="00B03E4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</w:t>
            </w: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децембру</w:t>
            </w:r>
            <w:r w:rsidRPr="00B03E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2020. године</w:t>
            </w:r>
          </w:p>
        </w:tc>
        <w:tc>
          <w:tcPr>
            <w:tcW w:w="3030" w:type="dxa"/>
          </w:tcPr>
          <w:p w14:paraId="20B7B7E2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2.850.877,35</w:t>
            </w:r>
          </w:p>
        </w:tc>
        <w:tc>
          <w:tcPr>
            <w:tcW w:w="3402" w:type="dxa"/>
          </w:tcPr>
          <w:p w14:paraId="431619D7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2.001.017,58</w:t>
            </w:r>
          </w:p>
        </w:tc>
      </w:tr>
    </w:tbl>
    <w:p w14:paraId="4E88E7B9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val="sr-Latn-RS" w:eastAsia="sr-Cyrl-CS"/>
        </w:rPr>
      </w:pPr>
    </w:p>
    <w:p w14:paraId="752E8E61" w14:textId="77777777" w:rsidR="00B03E47" w:rsidRPr="00B03E47" w:rsidRDefault="00B03E47" w:rsidP="00B03E47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БРОЈ ЗАПОСЛЕНИХ У УПРАВИ И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Latn-CS" w:eastAsia="sr-Cyrl-CS"/>
        </w:rPr>
        <w:t xml:space="preserve"> СИСТЕМАТИЗАЦИЈА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Latn-CS" w:eastAsia="sr-Cyrl-CS"/>
        </w:rPr>
        <w:t>РАДНИХ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Latn-CS" w:eastAsia="sr-Cyrl-CS"/>
        </w:rPr>
        <w:t>МЕСТА</w:t>
      </w:r>
    </w:p>
    <w:p w14:paraId="161907D7" w14:textId="77777777" w:rsidR="00B03E47" w:rsidRPr="00B03E47" w:rsidRDefault="00B03E47" w:rsidP="00B03E47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</w:pPr>
    </w:p>
    <w:p w14:paraId="594E8C76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Актом о унутрашњем уређењу и систематизацији радних места у Управи за игре на срећу, као органу управе у саставу Министарства финансија, одређују се унутрашње јединице, њихов делокруг и међусобни однос унутрашњих јединица; руковођење унутрашњим јединицама; овлашћења и одговорности руководилаца унутрашњих јединица; начин сарадње Управе са другим органима и организацијама; број државних службеника који раде на положајима и описи њихових послова; број радних места по звању за државне службенике; називи радних места, описи послова радних места и звања за државне службенике у које су радна места разврстана; потребан број државних службеника за свако радно место и услови за запослење на сваком радном месту.</w:t>
      </w:r>
    </w:p>
    <w:p w14:paraId="356F5E0A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</w:p>
    <w:p w14:paraId="0C7770F0" w14:textId="3A2C931D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За обављање послова из делокруга Управе, образоване су след</w:t>
      </w:r>
      <w:r w:rsidR="00614870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е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ће унутрашње јединице:</w:t>
      </w:r>
    </w:p>
    <w:p w14:paraId="5D346FB7" w14:textId="77777777" w:rsidR="00B03E47" w:rsidRPr="00B03E47" w:rsidRDefault="00667EE4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Одељење за 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одобрења и сагласности;</w:t>
      </w:r>
    </w:p>
    <w:p w14:paraId="3FAEB917" w14:textId="628815DF" w:rsidR="00B03E47" w:rsidRPr="00B03E47" w:rsidRDefault="00B03E47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Од</w:t>
      </w:r>
      <w:r w:rsidR="00133FF0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ељење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за </w:t>
      </w:r>
      <w:r w:rsidR="00667EE4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надзор и анализ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у ризика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;</w:t>
      </w:r>
    </w:p>
    <w:p w14:paraId="2CFF79A1" w14:textId="77777777" w:rsidR="00B03E47" w:rsidRPr="00B03E47" w:rsidRDefault="00B03E47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Од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сек за финансијске, правне и опште послове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;</w:t>
      </w:r>
    </w:p>
    <w:p w14:paraId="5FE9D9E5" w14:textId="144FBCD6" w:rsidR="00B03E47" w:rsidRPr="00B03E47" w:rsidRDefault="003E6947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Група за нормативне послове</w:t>
      </w:r>
      <w:r w:rsidR="00B07702"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  <w:t>.</w:t>
      </w:r>
    </w:p>
    <w:p w14:paraId="2959202D" w14:textId="679ADD72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Управа за обављање послова из свог делокруга има</w:t>
      </w:r>
      <w:r w:rsidRPr="00B03E47">
        <w:rPr>
          <w:rFonts w:ascii="Times New Roman" w:eastAsia="Times New Roman" w:hAnsi="Times New Roman" w:cs="Times New Roman"/>
          <w:color w:val="FF0000"/>
          <w:sz w:val="24"/>
          <w:szCs w:val="20"/>
          <w:lang w:val="sr-Cyrl-CS" w:eastAsia="sr-Cyrl-CS"/>
        </w:rPr>
        <w:t xml:space="preserve"> 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35</w:t>
      </w:r>
      <w:r w:rsidRPr="003E6947">
        <w:rPr>
          <w:rFonts w:ascii="Times New Roman" w:eastAsia="Times New Roman" w:hAnsi="Times New Roman" w:cs="Times New Roman"/>
          <w:b/>
          <w:sz w:val="24"/>
          <w:szCs w:val="20"/>
          <w:lang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(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тридесетпет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) радн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их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места са укупно</w:t>
      </w:r>
      <w:r w:rsidRPr="00B03E47">
        <w:rPr>
          <w:rFonts w:ascii="Times New Roman" w:eastAsia="Times New Roman" w:hAnsi="Times New Roman" w:cs="Times New Roman"/>
          <w:color w:val="FF0000"/>
          <w:sz w:val="24"/>
          <w:szCs w:val="20"/>
          <w:lang w:val="sr-Cyrl-CS" w:eastAsia="sr-Cyrl-CS"/>
        </w:rPr>
        <w:t xml:space="preserve"> 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45</w:t>
      </w:r>
      <w:r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(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четрдесетпет</w:t>
      </w:r>
      <w:r w:rsidR="008C209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)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државних службеника и то:</w:t>
      </w:r>
    </w:p>
    <w:p w14:paraId="5B342D19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</w:p>
    <w:p w14:paraId="7BB2EE3F" w14:textId="6951DAFF" w:rsidR="00B03E47" w:rsidRPr="00B03E47" w:rsidRDefault="00B03E47" w:rsidP="00B03E47">
      <w:pPr>
        <w:numPr>
          <w:ilvl w:val="0"/>
          <w:numId w:val="15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Број државних службеника на положају:      </w:t>
      </w:r>
    </w:p>
    <w:p w14:paraId="1A6AE2BF" w14:textId="77777777" w:rsidR="00B03E47" w:rsidRPr="00B03E47" w:rsidRDefault="00B03E47" w:rsidP="00B03E47">
      <w:pPr>
        <w:spacing w:after="0" w:line="240" w:lineRule="auto"/>
        <w:ind w:left="720" w:right="15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</w:p>
    <w:p w14:paraId="1189769B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II група положаја   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ab/>
        <w:t>- 1 државни службеник на положају</w:t>
      </w:r>
    </w:p>
    <w:p w14:paraId="6197DB25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V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 група положаја   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ab/>
        <w:t xml:space="preserve">- 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 xml:space="preserve">2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>државн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 службеник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 на положају</w:t>
      </w:r>
    </w:p>
    <w:p w14:paraId="19BEF52F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</w:p>
    <w:p w14:paraId="4DD0BE47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2. Број радних места за државне службенике по звањима:</w:t>
      </w:r>
    </w:p>
    <w:p w14:paraId="5C207817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</w:p>
    <w:p w14:paraId="64AC0370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7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радних места у звању вишег саветника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7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државних службеника</w:t>
      </w:r>
    </w:p>
    <w:p w14:paraId="360CCDE8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11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радних места у звању самосталног саветника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18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државних службеника</w:t>
      </w:r>
    </w:p>
    <w:p w14:paraId="24441E8A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6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их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места у звању саветника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>- 9 државних службеник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а</w:t>
      </w:r>
    </w:p>
    <w:p w14:paraId="64546521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3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радн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мест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у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звању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млађег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саветника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3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службеник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</w:p>
    <w:p w14:paraId="14B88A64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lastRenderedPageBreak/>
        <w:t>2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у звању са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радника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2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службеник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</w:p>
    <w:p w14:paraId="06A1EB49" w14:textId="77777777" w:rsidR="00B03E47" w:rsidRPr="00B03E47" w:rsidRDefault="00B03E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3 радна места у звању референта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>- 3 државна службеника</w:t>
      </w:r>
    </w:p>
    <w:p w14:paraId="0CCBF18A" w14:textId="77777777" w:rsidR="00B03E47" w:rsidRPr="00B03E47" w:rsidRDefault="00B03E47" w:rsidP="003E6947">
      <w:pPr>
        <w:spacing w:after="0" w:line="240" w:lineRule="auto"/>
        <w:ind w:left="284" w:right="150" w:hanging="142"/>
        <w:jc w:val="both"/>
        <w:rPr>
          <w:rFonts w:ascii="Arial" w:eastAsia="Times New Roman" w:hAnsi="Arial" w:cs="Arial"/>
          <w:sz w:val="24"/>
          <w:szCs w:val="20"/>
          <w:lang w:eastAsia="sr-Cyrl-CS"/>
        </w:rPr>
      </w:pPr>
    </w:p>
    <w:p w14:paraId="06FE0072" w14:textId="77777777" w:rsidR="00B03E47" w:rsidRPr="00B03E47" w:rsidRDefault="00B03E47" w:rsidP="002D44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Управа за игре на </w:t>
      </w:r>
      <w:r w:rsidR="002D44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срећу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3E6947">
        <w:rPr>
          <w:rFonts w:ascii="Times New Roman" w:eastAsia="Calibri" w:hAnsi="Times New Roman" w:cs="Times New Roman"/>
          <w:sz w:val="24"/>
          <w:szCs w:val="24"/>
          <w:lang w:val="sr-Cyrl-CS"/>
        </w:rPr>
        <w:t>новембру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</w:t>
      </w:r>
      <w:r w:rsidR="003E6947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B03E47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Cs w:val="24"/>
        </w:rPr>
        <w:t>године</w:t>
      </w:r>
      <w:proofErr w:type="spellEnd"/>
      <w:r w:rsidRPr="00B03E47">
        <w:rPr>
          <w:rFonts w:ascii="Times New Roman" w:eastAsia="Calibri" w:hAnsi="Times New Roman" w:cs="Times New Roman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има </w:t>
      </w:r>
      <w:r w:rsidRPr="002D44CA">
        <w:rPr>
          <w:rFonts w:ascii="Times New Roman" w:eastAsia="Calibri" w:hAnsi="Times New Roman" w:cs="Times New Roman"/>
          <w:sz w:val="24"/>
          <w:szCs w:val="24"/>
          <w:lang w:val="sr-Cyrl-CS"/>
        </w:rPr>
        <w:t>укупно 25</w:t>
      </w:r>
      <w:r w:rsidRPr="002D4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4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запослених (23 извршиоца и 2 лица на положају), 4 лица ангажована по Уговору о обављању привремених и повремених послова и једно лице ангажовано по Уговору о </w:t>
      </w:r>
      <w:r w:rsidR="002D44CA" w:rsidRPr="002D44CA">
        <w:rPr>
          <w:rFonts w:ascii="Times New Roman" w:eastAsia="Calibri" w:hAnsi="Times New Roman" w:cs="Times New Roman"/>
          <w:sz w:val="24"/>
          <w:szCs w:val="24"/>
          <w:lang w:val="sr-Cyrl-CS"/>
        </w:rPr>
        <w:t>допунском раду</w:t>
      </w:r>
      <w:r w:rsidRPr="002D44C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5963C990" w14:textId="77777777" w:rsidR="00B03E47" w:rsidRPr="00B03E47" w:rsidRDefault="00B03E47" w:rsidP="00667EE4">
      <w:pPr>
        <w:numPr>
          <w:ilvl w:val="0"/>
          <w:numId w:val="2"/>
        </w:num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nasl_17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СРЕДСТВИМА РАДА</w:t>
      </w:r>
    </w:p>
    <w:bookmarkEnd w:id="21"/>
    <w:p w14:paraId="64388356" w14:textId="77777777" w:rsidR="00B03E47" w:rsidRPr="00B03E47" w:rsidRDefault="00B03E47" w:rsidP="00B03E47">
      <w:pPr>
        <w:pBdr>
          <w:bar w:val="single" w:sz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279"/>
        <w:gridCol w:w="1985"/>
        <w:gridCol w:w="1843"/>
        <w:gridCol w:w="1984"/>
      </w:tblGrid>
      <w:tr w:rsidR="00B03E47" w:rsidRPr="00B03E47" w14:paraId="13ADF84A" w14:textId="77777777" w:rsidTr="00B03E47">
        <w:trPr>
          <w:trHeight w:val="2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54E7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19E0" w14:textId="77777777" w:rsidR="00B03E47" w:rsidRPr="00B03E47" w:rsidRDefault="00B03E47" w:rsidP="00B03E4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69F28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Набавна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4BA3D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Исправка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9A7FA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Садашња вредност</w:t>
            </w:r>
          </w:p>
        </w:tc>
      </w:tr>
      <w:tr w:rsidR="00B03E47" w:rsidRPr="00B03E47" w14:paraId="3C7124CD" w14:textId="77777777" w:rsidTr="00B03E47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AF9E4" w14:textId="77777777" w:rsidR="00B03E47" w:rsidRPr="00B03E47" w:rsidRDefault="00B03E47" w:rsidP="00B03E47">
            <w:pPr>
              <w:spacing w:after="0" w:line="240" w:lineRule="auto"/>
              <w:ind w:left="282"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14C7C" w14:textId="77777777" w:rsidR="00B03E47" w:rsidRPr="00B03E47" w:rsidRDefault="00B03E47" w:rsidP="00B03E47">
            <w:pPr>
              <w:spacing w:after="0" w:line="240" w:lineRule="auto"/>
              <w:ind w:left="282"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014C6" w14:textId="77777777" w:rsidR="00B03E47" w:rsidRPr="00B03E47" w:rsidRDefault="00B03E47" w:rsidP="00B03E47">
            <w:pPr>
              <w:spacing w:after="0" w:line="240" w:lineRule="auto"/>
              <w:ind w:left="282"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9E711" w14:textId="77777777" w:rsidR="00B03E47" w:rsidRPr="00B03E47" w:rsidRDefault="00B03E47" w:rsidP="00B03E47">
            <w:pPr>
              <w:spacing w:after="0" w:line="240" w:lineRule="auto"/>
              <w:ind w:left="282"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249AD" w14:textId="77777777" w:rsidR="00B03E47" w:rsidRPr="00B03E47" w:rsidRDefault="00B03E47" w:rsidP="00B03E47">
            <w:pPr>
              <w:spacing w:after="0" w:line="240" w:lineRule="auto"/>
              <w:ind w:left="282"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03E47" w:rsidRPr="00B03E47" w14:paraId="2BC0DC59" w14:textId="77777777" w:rsidTr="00B03E47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D93BA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Рачунарска и ИТ опрема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93CCF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E9CCC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123,221,727.28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248E0" w14:textId="77777777" w:rsidR="00B03E47" w:rsidRPr="006F566A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35,403,141.88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2A27F" w14:textId="77777777" w:rsidR="00B03E47" w:rsidRPr="006F566A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87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818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.5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.4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03E47" w:rsidRPr="00B03E47" w14:paraId="1E49A655" w14:textId="77777777" w:rsidTr="00B03E47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1FFA0" w14:textId="77777777" w:rsidR="00B03E47" w:rsidRPr="00B03E47" w:rsidRDefault="00B03E47" w:rsidP="00B03E47">
            <w:pPr>
              <w:spacing w:after="0" w:line="240" w:lineRule="auto"/>
              <w:ind w:left="162"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6EE" w14:textId="77777777" w:rsidR="00B03E47" w:rsidRPr="00B03E47" w:rsidRDefault="00B03E47" w:rsidP="00B03E47">
            <w:pPr>
              <w:spacing w:after="0" w:line="240" w:lineRule="auto"/>
              <w:ind w:left="162"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18F13" w14:textId="77777777" w:rsidR="00B03E47" w:rsidRPr="00B03E47" w:rsidRDefault="00B03E47" w:rsidP="00B03E47">
            <w:pPr>
              <w:spacing w:after="0" w:line="240" w:lineRule="auto"/>
              <w:ind w:left="162"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ACB34" w14:textId="77777777" w:rsidR="00B03E47" w:rsidRPr="00B03E47" w:rsidRDefault="00B03E47" w:rsidP="00B03E47">
            <w:pPr>
              <w:spacing w:after="0" w:line="240" w:lineRule="auto"/>
              <w:ind w:left="162"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27B1B" w14:textId="77777777" w:rsidR="00B03E47" w:rsidRPr="00B03E47" w:rsidRDefault="00B03E47" w:rsidP="00B03E47">
            <w:pPr>
              <w:spacing w:after="0" w:line="240" w:lineRule="auto"/>
              <w:ind w:left="162"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03E47" w:rsidRPr="00B03E47" w14:paraId="632890E8" w14:textId="77777777" w:rsidTr="00B03E47">
        <w:trPr>
          <w:trHeight w:val="240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ED776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Ko</w:t>
            </w: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муникациона опрема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C6F68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AC2B2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481,236.27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BFF4F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100,772.73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E289A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380</w:t>
            </w: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,</w:t>
            </w: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463</w:t>
            </w: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</w:tr>
      <w:tr w:rsidR="00B03E47" w:rsidRPr="00B03E47" w14:paraId="233E90CA" w14:textId="77777777" w:rsidTr="00B03E47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C02E1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7291C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0F9EE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0E260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93838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03E47" w:rsidRPr="00B03E47" w14:paraId="538DB7A9" w14:textId="77777777" w:rsidTr="00B03E47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5640F" w14:textId="7297F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Канцеларијска опрема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C62A6" w14:textId="77777777" w:rsidR="00B03E47" w:rsidRPr="00B03E47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03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3EA" w14:textId="77777777" w:rsidR="00B03E47" w:rsidRPr="006F566A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906,962.12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17F" w14:textId="77777777" w:rsidR="00B03E47" w:rsidRPr="006F566A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490,903.73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C6B155" w14:textId="77777777" w:rsidR="00B03E47" w:rsidRPr="006F566A" w:rsidRDefault="00B03E47" w:rsidP="00B03E47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415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788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.</w:t>
            </w:r>
            <w:r w:rsidRPr="006F56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B03E47" w:rsidRPr="00B03E47" w14:paraId="5BEEBA98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31" w:type="dxa"/>
          </w:tcPr>
          <w:p w14:paraId="7ECBA78E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5E7F8A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3A370C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5E72D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67A34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E47" w:rsidRPr="00B03E47" w14:paraId="65F2F288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2231" w:type="dxa"/>
            <w:tcBorders>
              <w:bottom w:val="single" w:sz="4" w:space="0" w:color="auto"/>
            </w:tcBorders>
          </w:tcPr>
          <w:p w14:paraId="70794C15" w14:textId="77777777" w:rsidR="00B03E47" w:rsidRPr="00B03E47" w:rsidRDefault="00B03E47" w:rsidP="00B03E47">
            <w:pPr>
              <w:spacing w:after="0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Електронска и фотографска опрема</w:t>
            </w:r>
          </w:p>
        </w:tc>
        <w:tc>
          <w:tcPr>
            <w:tcW w:w="1279" w:type="dxa"/>
          </w:tcPr>
          <w:p w14:paraId="7868ACEC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985" w:type="dxa"/>
          </w:tcPr>
          <w:p w14:paraId="62BEDE22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241,418.00</w:t>
            </w:r>
          </w:p>
        </w:tc>
        <w:tc>
          <w:tcPr>
            <w:tcW w:w="1843" w:type="dxa"/>
          </w:tcPr>
          <w:p w14:paraId="4F5C96B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44,789.36</w:t>
            </w:r>
          </w:p>
        </w:tc>
        <w:tc>
          <w:tcPr>
            <w:tcW w:w="1984" w:type="dxa"/>
          </w:tcPr>
          <w:p w14:paraId="2E0DE410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196,628.46</w:t>
            </w:r>
          </w:p>
        </w:tc>
      </w:tr>
      <w:tr w:rsidR="00B03E47" w:rsidRPr="00B03E47" w14:paraId="6876DF48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2231" w:type="dxa"/>
          </w:tcPr>
          <w:p w14:paraId="344F388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279" w:type="dxa"/>
          </w:tcPr>
          <w:p w14:paraId="5E377252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299C3E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124,851,073.74</w:t>
            </w:r>
          </w:p>
        </w:tc>
        <w:tc>
          <w:tcPr>
            <w:tcW w:w="1843" w:type="dxa"/>
          </w:tcPr>
          <w:p w14:paraId="275BB1F2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36,039,607.70</w:t>
            </w:r>
          </w:p>
        </w:tc>
        <w:tc>
          <w:tcPr>
            <w:tcW w:w="1984" w:type="dxa"/>
          </w:tcPr>
          <w:p w14:paraId="03C645F8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88,811,466.04</w:t>
            </w:r>
          </w:p>
        </w:tc>
      </w:tr>
      <w:tr w:rsidR="00B03E47" w:rsidRPr="00B03E47" w14:paraId="3697D4FF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231" w:type="dxa"/>
          </w:tcPr>
          <w:p w14:paraId="3360C318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222945D0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24680B17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467E329E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7268B94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E47" w:rsidRPr="00B03E47" w14:paraId="16AC1417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231" w:type="dxa"/>
          </w:tcPr>
          <w:p w14:paraId="79D30124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Компјутерски софтвер</w:t>
            </w:r>
          </w:p>
        </w:tc>
        <w:tc>
          <w:tcPr>
            <w:tcW w:w="1279" w:type="dxa"/>
          </w:tcPr>
          <w:p w14:paraId="2EDFBF5C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58BCFADF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176,400,000.00</w:t>
            </w:r>
          </w:p>
        </w:tc>
        <w:tc>
          <w:tcPr>
            <w:tcW w:w="1843" w:type="dxa"/>
          </w:tcPr>
          <w:p w14:paraId="64F11DAB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5,880,000.00</w:t>
            </w:r>
          </w:p>
        </w:tc>
        <w:tc>
          <w:tcPr>
            <w:tcW w:w="1984" w:type="dxa"/>
          </w:tcPr>
          <w:p w14:paraId="110C0F1A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170,520,000.00</w:t>
            </w:r>
          </w:p>
        </w:tc>
      </w:tr>
      <w:tr w:rsidR="00B03E47" w:rsidRPr="00B03E47" w14:paraId="55C1C321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31" w:type="dxa"/>
          </w:tcPr>
          <w:p w14:paraId="628B804F" w14:textId="77777777" w:rsidR="00B03E47" w:rsidRPr="00B03E47" w:rsidRDefault="00B03E47" w:rsidP="00B03E47">
            <w:pPr>
              <w:spacing w:after="0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1279" w:type="dxa"/>
          </w:tcPr>
          <w:p w14:paraId="1CC63B4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</w:tcPr>
          <w:p w14:paraId="7BDBFD4F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6,767,360.00</w:t>
            </w:r>
          </w:p>
        </w:tc>
        <w:tc>
          <w:tcPr>
            <w:tcW w:w="1843" w:type="dxa"/>
          </w:tcPr>
          <w:p w14:paraId="4191B197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3,515,268.33</w:t>
            </w:r>
          </w:p>
        </w:tc>
        <w:tc>
          <w:tcPr>
            <w:tcW w:w="1984" w:type="dxa"/>
          </w:tcPr>
          <w:p w14:paraId="0D56CB4B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3,252,091.67</w:t>
            </w:r>
          </w:p>
        </w:tc>
      </w:tr>
      <w:tr w:rsidR="00B03E47" w:rsidRPr="00B03E47" w14:paraId="15E5535C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31" w:type="dxa"/>
          </w:tcPr>
          <w:p w14:paraId="05679C63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Патенти</w:t>
            </w:r>
          </w:p>
        </w:tc>
        <w:tc>
          <w:tcPr>
            <w:tcW w:w="1279" w:type="dxa"/>
          </w:tcPr>
          <w:p w14:paraId="72E73BCF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985" w:type="dxa"/>
          </w:tcPr>
          <w:p w14:paraId="2BEE56BB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691,200.00</w:t>
            </w:r>
          </w:p>
        </w:tc>
        <w:tc>
          <w:tcPr>
            <w:tcW w:w="1843" w:type="dxa"/>
          </w:tcPr>
          <w:p w14:paraId="71821860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115,920.00</w:t>
            </w:r>
          </w:p>
        </w:tc>
        <w:tc>
          <w:tcPr>
            <w:tcW w:w="1984" w:type="dxa"/>
          </w:tcPr>
          <w:p w14:paraId="26EE0FEA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575,280.00</w:t>
            </w:r>
          </w:p>
        </w:tc>
      </w:tr>
      <w:tr w:rsidR="00B03E47" w:rsidRPr="00B03E47" w14:paraId="7175E4B9" w14:textId="77777777" w:rsidTr="00B0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2231" w:type="dxa"/>
          </w:tcPr>
          <w:p w14:paraId="19BBB19D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099888F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279" w:type="dxa"/>
          </w:tcPr>
          <w:p w14:paraId="2D18BC74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9027433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311</w:t>
            </w:r>
          </w:p>
        </w:tc>
        <w:tc>
          <w:tcPr>
            <w:tcW w:w="1985" w:type="dxa"/>
          </w:tcPr>
          <w:p w14:paraId="5E309BFF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9DD6CD1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308,709,633.74</w:t>
            </w:r>
          </w:p>
        </w:tc>
        <w:tc>
          <w:tcPr>
            <w:tcW w:w="1843" w:type="dxa"/>
          </w:tcPr>
          <w:p w14:paraId="0EA445FA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F1D3633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45,550,796.03</w:t>
            </w:r>
          </w:p>
          <w:p w14:paraId="2EB52D14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778F16FA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771764C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263,158,837.71</w:t>
            </w:r>
          </w:p>
          <w:p w14:paraId="66D416A7" w14:textId="77777777" w:rsidR="00B03E47" w:rsidRPr="00B03E47" w:rsidRDefault="00B03E47" w:rsidP="00B03E47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2D4882A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88FF2" w14:textId="77777777" w:rsid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704D7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nasl_18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ЧУВАЊЕ НОСАЧА ИНФОРМАЦИЈА</w:t>
      </w:r>
    </w:p>
    <w:bookmarkEnd w:id="22"/>
    <w:p w14:paraId="03C1825A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1B26CCB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Подаци којима располаже Министарство финансија – Управа за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чувају се у архиви писарнице Управе за заједничке послове републичких органа, у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просторијама Управе код службених лица која раде на предметима, у електронској форми у рачунарима и на ЦД-овима.</w:t>
      </w:r>
    </w:p>
    <w:p w14:paraId="25048722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Целокупна документација, односно носачи информација чувају се уз примену одговарајућих мера заштите. Информације се класификују, чувају и архивирају према прописима о канцеларијском пословању у државним органима. </w:t>
      </w:r>
    </w:p>
    <w:p w14:paraId="39C0DF98" w14:textId="77777777" w:rsidR="003E6947" w:rsidRDefault="003E6947" w:rsidP="003E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4EA58F" w14:textId="77777777" w:rsidR="00B03E47" w:rsidRPr="00E90029" w:rsidRDefault="00B03E47" w:rsidP="00E90029">
      <w:pPr>
        <w:pStyle w:val="ListParagraph"/>
        <w:numPr>
          <w:ilvl w:val="0"/>
          <w:numId w:val="2"/>
        </w:numPr>
        <w:rPr>
          <w:b/>
        </w:rPr>
      </w:pPr>
      <w:bookmarkStart w:id="23" w:name="nasl_19"/>
      <w:r w:rsidRPr="00E90029">
        <w:rPr>
          <w:b/>
        </w:rPr>
        <w:t>ВРСТЕ ИНФОРМАЦИЈА У ПОСЕДУ</w:t>
      </w:r>
    </w:p>
    <w:bookmarkEnd w:id="23"/>
    <w:p w14:paraId="5F322288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163B577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настале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356BF4" w14:textId="77777777" w:rsidR="002D0537" w:rsidRPr="002D0537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Мишљења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537" w:rsidRPr="002D05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надлежног министарства у вези примене одредби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играма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="002D053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B1B52" w14:textId="77777777" w:rsidR="00B03E47" w:rsidRPr="002D0537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Закључени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уговори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поступцима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41505" w14:textId="77777777" w:rsidR="00B03E47" w:rsidRPr="00ED0874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давању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одобрења</w:t>
      </w:r>
      <w:proofErr w:type="spellEnd"/>
      <w:r w:rsidR="00236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ED0874" w:rsidRPr="00ED08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гласности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74" w:rsidRPr="00ED0874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74" w:rsidRPr="00ED0874">
        <w:rPr>
          <w:rFonts w:ascii="Times New Roman" w:eastAsia="Times New Roman" w:hAnsi="Times New Roman" w:cs="Times New Roman"/>
          <w:sz w:val="24"/>
          <w:szCs w:val="24"/>
          <w:lang w:val="sr-Cyrl-RS"/>
        </w:rPr>
        <w:t>игара на срећу;</w:t>
      </w:r>
    </w:p>
    <w:p w14:paraId="453740CD" w14:textId="77777777" w:rsidR="00B03E47" w:rsidRPr="00B03E47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Обрачуни промета по врстама игара на срећу;</w:t>
      </w:r>
    </w:p>
    <w:p w14:paraId="73BDC618" w14:textId="77777777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оствареним приходима од накнада, који се објављују на интеренет страници Управе на годишњем нивоу; </w:t>
      </w:r>
    </w:p>
    <w:p w14:paraId="52658DD0" w14:textId="77777777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Саопштења Управе за игре на срећу, која се у електронској форми могу преузети на адреси www.uis.gov.rs;</w:t>
      </w:r>
    </w:p>
    <w:p w14:paraId="1CFE5196" w14:textId="77777777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Евиденције и извештаји из оквира надлежности Управе; </w:t>
      </w:r>
    </w:p>
    <w:p w14:paraId="638CA5FB" w14:textId="37216B68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Прописи из области игара на срећу који се могу прегледати и преузети на интернет адреси: </w:t>
      </w:r>
      <w:r w:rsidR="008812E0">
        <w:fldChar w:fldCharType="begin"/>
      </w:r>
      <w:r w:rsidR="008812E0">
        <w:instrText xml:space="preserve"> HYPERLINK "file:///C:\\Users\\Korisnik\\AppData\\Local\\Microsoft\\Windows\\INetCache\\Content</w:instrText>
      </w:r>
      <w:r w:rsidR="008812E0">
        <w:instrText xml:space="preserve">.Outlook\\WTKNAKUX\\www.uis.gov.rs" </w:instrText>
      </w:r>
      <w:r w:rsidR="008812E0">
        <w:fldChar w:fldCharType="separate"/>
      </w:r>
      <w:r w:rsidRPr="00B03E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 xml:space="preserve">www.uis.gov.rs  </w:t>
      </w:r>
      <w:r w:rsidR="008812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fldChar w:fldCharType="end"/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5C87AC2" w14:textId="77777777" w:rsidR="00B03E47" w:rsidRPr="00F90D4A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Смернице за примену прописа.</w:t>
      </w:r>
    </w:p>
    <w:p w14:paraId="286DB627" w14:textId="77777777" w:rsidR="00F90D4A" w:rsidRPr="004E7B32" w:rsidRDefault="00F90D4A" w:rsidP="00F90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D44668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nasl_20"/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ВРСТЕ ИНФОРМАЦИЈА КОЈИМА УПРАВА ЗА ИГРЕ НА СРЕЋУ ОМОГУЋАВА ПРИСТУП</w:t>
      </w:r>
    </w:p>
    <w:bookmarkEnd w:id="24"/>
    <w:p w14:paraId="279DF7D9" w14:textId="77777777" w:rsidR="00B03E47" w:rsidRPr="00B03E47" w:rsidRDefault="00B03E47" w:rsidP="00B03E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3A012B" w14:textId="40423546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врстама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игре на срећу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омогућити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слободном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приступу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стекли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искључење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ограничење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слободног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</w:t>
      </w:r>
      <w:proofErr w:type="spellEnd"/>
      <w:r w:rsidR="00DD587D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BB772" w14:textId="77777777" w:rsid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96EC0" w14:textId="77777777" w:rsidR="00E90029" w:rsidRDefault="00E90029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A8986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nasl_21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ИНФОРМАЦИЈЕ О ПОДНОШЕЊУ ЗАХТЕВА ЗА ПРИСТУП ИНФОРМАЦИЈАМА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 ЈАВНОГ ЗНАЧАЈА</w:t>
      </w:r>
    </w:p>
    <w:bookmarkEnd w:id="25"/>
    <w:p w14:paraId="7890255C" w14:textId="77777777" w:rsidR="00E75608" w:rsidRDefault="00E75608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4E31C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поднети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DD98EC6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•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писаној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Омладинских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бригада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 </w:t>
      </w:r>
      <w:r w:rsidRPr="00B03E47">
        <w:rPr>
          <w:rFonts w:ascii="Times New Roman" w:eastAsia="Calibri" w:hAnsi="Times New Roman" w:cs="Times New Roman"/>
          <w:sz w:val="24"/>
          <w:szCs w:val="24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472775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електронском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поштом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: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hyperlink r:id="rId18" w:history="1">
        <w:r w:rsidRPr="00B03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igre.na.srecu@uis.gov.rs</w:t>
        </w:r>
      </w:hyperlink>
    </w:p>
    <w:p w14:paraId="6AC19210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усмено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записник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Омладинских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бригада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бр. </w:t>
      </w:r>
      <w:r w:rsidRPr="00B03E47">
        <w:rPr>
          <w:rFonts w:ascii="Times New Roman" w:eastAsia="Calibri" w:hAnsi="Times New Roman" w:cs="Times New Roman"/>
          <w:sz w:val="24"/>
          <w:szCs w:val="24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Београд (н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овакав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примењују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рокови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поднет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писмено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0D527F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мора да садржи: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228E14" w14:textId="77777777" w:rsidR="00B03E47" w:rsidRPr="00B03E47" w:rsidRDefault="00B03E47" w:rsidP="00B03E47">
      <w:pPr>
        <w:numPr>
          <w:ilvl w:val="0"/>
          <w:numId w:val="21"/>
        </w:num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власти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</w:p>
    <w:p w14:paraId="11B17B19" w14:textId="77777777" w:rsidR="00B03E47" w:rsidRPr="00B03E47" w:rsidRDefault="00B03E47" w:rsidP="00B03E47">
      <w:pPr>
        <w:numPr>
          <w:ilvl w:val="0"/>
          <w:numId w:val="21"/>
        </w:num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lastRenderedPageBreak/>
        <w:t>пода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тке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презиме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CC1BC9" w14:textId="77777777" w:rsidR="00B03E47" w:rsidRPr="00B03E47" w:rsidRDefault="00B03E47" w:rsidP="00B03E47">
      <w:pPr>
        <w:numPr>
          <w:ilvl w:val="0"/>
          <w:numId w:val="21"/>
        </w:num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што прецизнији опис информације која се тражи</w:t>
      </w:r>
    </w:p>
    <w:p w14:paraId="1152E695" w14:textId="00AC9AE8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може да садржи и друге податке који олакшавају проналажење тражене информације, а тражилац не мора навести разлоге за захтев. Свако има право да му се информ</w:t>
      </w:r>
      <w:r w:rsidR="00327268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ција од јавног значаја учини доступном. </w:t>
      </w:r>
    </w:p>
    <w:p w14:paraId="34649F92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Ако захтев није уредан, овлашћено лице Управе дужно је да, без надокнаде, поучи тражиоца како да те недостатке отклони, односно да достави тражиоцу упутство о допуни. Ако тражилац не отклони недостатке у року од 15 дана од дана пријема упутства о допуни, а недостаци су такви да се по захтеву не може поступати, Управа ће донети закључак о одбацивању захтева као неуредног. </w:t>
      </w:r>
    </w:p>
    <w:p w14:paraId="134A7BC8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дужна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одлагања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најкасније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пријема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поседовању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7B7608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могућности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оправданих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разлога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пријема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поседовању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дужна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најкасније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пријема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одреди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накнадни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дужи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40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пријема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обавестити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поседовању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ставити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6BEA99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заједно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обавештењем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ставити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саопштити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мест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стављена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нужних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трошкова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располаже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техничким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средствима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упознаће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могућношћу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употребом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свој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опрем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изради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13B351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службеним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Лицу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стању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пратиоца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изврши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омогућиће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учини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помоћ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пратиоца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D30C0E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који садржи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бесплатан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обавезу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плати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накнаду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нужних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трошкова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а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упућивања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трошкове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упућивања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прописује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28268ED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одбије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целини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делимично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обавести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поседовању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стави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копију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дужна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одлагања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најкасније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пријема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донесе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одбијању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писмено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образложи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правна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изјавити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таквог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001EE5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тражилац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разлога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прописаних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члану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22.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слободном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оствари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своја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поднети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жалбу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Поверенику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AE0604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Против решења и закључка Повереника може се покренути управни спор. </w:t>
      </w:r>
    </w:p>
    <w:p w14:paraId="4229A497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lastRenderedPageBreak/>
        <w:t>Канцеларија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Повереника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налази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: 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Булевар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краља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Александра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15, 11000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Србија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, +381 11 340 89 00; </w:t>
      </w:r>
      <w:hyperlink r:id="rId19" w:history="1">
        <w:r w:rsidRPr="00B03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office@poverenik.rs</w:t>
        </w:r>
      </w:hyperlink>
    </w:p>
    <w:p w14:paraId="529C063A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color w:val="0000FF"/>
          <w:sz w:val="24"/>
          <w:szCs w:val="24"/>
          <w:lang w:val="sr-Cyrl-RS"/>
        </w:rPr>
        <w:br w:type="page"/>
      </w:r>
    </w:p>
    <w:p w14:paraId="46A7C2F3" w14:textId="77777777" w:rsidR="00B03E47" w:rsidRPr="00B03E47" w:rsidRDefault="00B03E47" w:rsidP="00B03E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Образац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захтева</w:t>
      </w:r>
      <w:proofErr w:type="spellEnd"/>
    </w:p>
    <w:p w14:paraId="2CEEC2FD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Министарство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финансија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BB2E2A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Управа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игре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срећу</w:t>
      </w:r>
      <w:proofErr w:type="spellEnd"/>
    </w:p>
    <w:p w14:paraId="4DE6DB52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Омладинских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бригада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Београд</w:t>
      </w:r>
      <w:proofErr w:type="spellEnd"/>
    </w:p>
    <w:p w14:paraId="2C78BF5E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lang w:val="sr-Latn-RS"/>
        </w:rPr>
      </w:pPr>
    </w:p>
    <w:p w14:paraId="2F52462D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lang w:val="sr-Latn-RS"/>
        </w:rPr>
      </w:pPr>
    </w:p>
    <w:p w14:paraId="025AFBB3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Х Т Е В</w:t>
      </w:r>
    </w:p>
    <w:p w14:paraId="7776C336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приступ информацији од јавног значаја</w:t>
      </w:r>
    </w:p>
    <w:p w14:paraId="222BEFDF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lang w:val="sr-Cyrl-CS"/>
        </w:rPr>
      </w:pPr>
    </w:p>
    <w:p w14:paraId="0A9E1528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15. став 1. Закона о слободном приступу информацијама од јавног значаја („Службени гласник РС“, бр.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120/04, 54/07, 104/09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36/10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), од горе наведеног органа захтевам*:</w:t>
      </w:r>
    </w:p>
    <w:p w14:paraId="6D9E5C85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обавештење да ли поседује тражену информацију;</w:t>
      </w:r>
    </w:p>
    <w:p w14:paraId="6F5054F9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увид у документ који садржи тражену информацију;</w:t>
      </w:r>
    </w:p>
    <w:p w14:paraId="77D8BBA1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копију документа који садржи тражену информацију</w:t>
      </w:r>
      <w:r w:rsidRPr="00B03E47">
        <w:rPr>
          <w:rFonts w:ascii="Times New Roman" w:eastAsia="Calibri" w:hAnsi="Times New Roman" w:cs="Times New Roman"/>
          <w:lang w:val="sr-Cyrl-CS"/>
        </w:rPr>
        <w:t>;</w:t>
      </w:r>
    </w:p>
    <w:p w14:paraId="50A31456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достављање копије документа који садржи тражену информацију:**</w:t>
      </w:r>
    </w:p>
    <w:p w14:paraId="1B500308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поштом</w:t>
      </w:r>
    </w:p>
    <w:p w14:paraId="679110F0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електронском поштом</w:t>
      </w:r>
    </w:p>
    <w:p w14:paraId="4343A885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факсом</w:t>
      </w:r>
    </w:p>
    <w:p w14:paraId="15A4CE49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на други начин:***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_________________________________________</w:t>
      </w:r>
    </w:p>
    <w:p w14:paraId="6E8A836F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14:paraId="52E12D03" w14:textId="77777777" w:rsidR="00B03E47" w:rsidRPr="00B03E47" w:rsidRDefault="00B03E47" w:rsidP="00B03E47">
      <w:pPr>
        <w:spacing w:after="0"/>
        <w:ind w:right="15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Овај захтев се односи на следеће информације</w:t>
      </w:r>
      <w:r w:rsidRPr="00B03E47">
        <w:rPr>
          <w:rFonts w:ascii="Times New Roman" w:eastAsia="Calibri" w:hAnsi="Times New Roman" w:cs="Times New Roman"/>
          <w:lang w:val="sr-Cyrl-CS"/>
        </w:rPr>
        <w:t>:</w:t>
      </w:r>
    </w:p>
    <w:p w14:paraId="2388B750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>______________________________________________________________________________________________________________________________________________________________________</w:t>
      </w:r>
    </w:p>
    <w:p w14:paraId="4EED4F21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>___________________________________________________________________________________</w:t>
      </w:r>
    </w:p>
    <w:p w14:paraId="01018161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31CD184B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</w:p>
    <w:p w14:paraId="2429B59D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___</w:t>
      </w:r>
      <w:r w:rsidRPr="00B03E47">
        <w:rPr>
          <w:rFonts w:ascii="Times New Roman" w:eastAsia="Calibri" w:hAnsi="Times New Roman" w:cs="Times New Roman"/>
          <w:lang w:val="sr-Cyrl-CS"/>
        </w:rPr>
        <w:t>__________________________________</w:t>
      </w:r>
    </w:p>
    <w:p w14:paraId="6F290822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Тражилац информације / Име и презиме</w:t>
      </w:r>
    </w:p>
    <w:p w14:paraId="1429FC79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Latn-RS"/>
        </w:rPr>
      </w:pPr>
    </w:p>
    <w:p w14:paraId="29C7706C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________________,                                         </w:t>
      </w:r>
      <w:r w:rsidRPr="00B03E47">
        <w:rPr>
          <w:rFonts w:ascii="Times New Roman" w:eastAsia="Calibri" w:hAnsi="Times New Roman" w:cs="Times New Roman"/>
        </w:rPr>
        <w:t xml:space="preserve">            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_____________________________________</w:t>
      </w:r>
    </w:p>
    <w:p w14:paraId="63309721" w14:textId="77777777" w:rsidR="00B03E47" w:rsidRPr="00B03E47" w:rsidRDefault="00B03E47" w:rsidP="00B03E47">
      <w:pPr>
        <w:ind w:right="15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Дана________године</w:t>
      </w:r>
      <w:r w:rsidRPr="00B03E47">
        <w:rPr>
          <w:rFonts w:ascii="Times New Roman" w:eastAsia="Calibri" w:hAnsi="Times New Roman" w:cs="Times New Roman"/>
        </w:rPr>
        <w:t xml:space="preserve">               </w:t>
      </w:r>
      <w:r w:rsidRPr="00B03E47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</w:t>
      </w:r>
      <w:r w:rsidRPr="00B03E47">
        <w:rPr>
          <w:rFonts w:ascii="Times New Roman" w:eastAsia="Calibri" w:hAnsi="Times New Roman" w:cs="Times New Roman"/>
        </w:rPr>
        <w:t xml:space="preserve"> </w:t>
      </w:r>
      <w:r w:rsidRPr="00B03E47">
        <w:rPr>
          <w:rFonts w:ascii="Times New Roman" w:eastAsia="Calibri" w:hAnsi="Times New Roman" w:cs="Times New Roman"/>
          <w:lang w:val="sr-Cyrl-RS"/>
        </w:rPr>
        <w:t xml:space="preserve">                       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адреса</w:t>
      </w:r>
    </w:p>
    <w:p w14:paraId="5A22BA28" w14:textId="77777777" w:rsidR="00B03E47" w:rsidRPr="00B03E47" w:rsidRDefault="00B03E47" w:rsidP="00B03E47">
      <w:pPr>
        <w:spacing w:after="0"/>
        <w:ind w:right="150" w:hanging="504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 xml:space="preserve">дана ___________20___ године                                      </w:t>
      </w: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_____________________________________</w:t>
      </w:r>
    </w:p>
    <w:p w14:paraId="014C8353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 xml:space="preserve">                    </w:t>
      </w: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lang w:val="sr-Cyrl-CS"/>
        </w:rPr>
        <w:t xml:space="preserve">              </w:t>
      </w:r>
      <w:r w:rsidRPr="00B03E47">
        <w:rPr>
          <w:rFonts w:ascii="Times New Roman" w:eastAsia="Calibri" w:hAnsi="Times New Roman" w:cs="Times New Roman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lang w:val="sr-Cyrl-C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други подаци за контакт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F56C51E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_</w:t>
      </w:r>
      <w:r w:rsidRPr="00B03E47">
        <w:rPr>
          <w:rFonts w:ascii="Times New Roman" w:eastAsia="Calibri" w:hAnsi="Times New Roman" w:cs="Times New Roman"/>
          <w:lang w:val="sr-Cyrl-CS"/>
        </w:rPr>
        <w:t>____________________________________</w:t>
      </w:r>
    </w:p>
    <w:p w14:paraId="6ED4F20E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 xml:space="preserve">                            </w:t>
      </w: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lang w:val="sr-Cyrl-RS"/>
        </w:rPr>
        <w:t xml:space="preserve">                              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потпис</w:t>
      </w:r>
    </w:p>
    <w:p w14:paraId="7A56E683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lang w:val="sr-Cyrl-CS"/>
        </w:rPr>
      </w:pPr>
    </w:p>
    <w:p w14:paraId="72D6314A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lang w:val="sr-Cyrl-CS"/>
        </w:rPr>
      </w:pPr>
    </w:p>
    <w:p w14:paraId="1E2DCDE9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lang w:val="sr-Latn-CS"/>
        </w:rPr>
      </w:pPr>
      <w:r w:rsidRPr="00B03E47">
        <w:rPr>
          <w:rFonts w:ascii="Times New Roman" w:eastAsia="Times New Roman" w:hAnsi="Times New Roman" w:cs="Times New Roman"/>
          <w:lang w:val="sr-Cyrl-CS"/>
        </w:rPr>
        <w:t>*У кућици означити која законска права на приступ информацијама желите да остварите</w:t>
      </w:r>
      <w:r w:rsidRPr="00B03E47">
        <w:rPr>
          <w:rFonts w:ascii="Times New Roman" w:eastAsia="Times New Roman" w:hAnsi="Times New Roman" w:cs="Times New Roman"/>
          <w:lang w:val="sr-Latn-CS"/>
        </w:rPr>
        <w:t>.</w:t>
      </w:r>
    </w:p>
    <w:p w14:paraId="5E411805" w14:textId="77777777" w:rsidR="00B03E47" w:rsidRPr="00B03E47" w:rsidRDefault="00B03E47" w:rsidP="00B03E47">
      <w:pPr>
        <w:spacing w:after="0" w:line="240" w:lineRule="auto"/>
        <w:ind w:right="150" w:hanging="227"/>
        <w:jc w:val="both"/>
        <w:rPr>
          <w:rFonts w:ascii="Times New Roman" w:eastAsia="Times New Roman" w:hAnsi="Times New Roman" w:cs="Times New Roman"/>
          <w:lang w:val="sr-Cyrl-CS"/>
        </w:rPr>
      </w:pPr>
      <w:r w:rsidRPr="00B03E47">
        <w:rPr>
          <w:rFonts w:ascii="Times New Roman" w:eastAsia="Times New Roman" w:hAnsi="Times New Roman" w:cs="Times New Roman"/>
          <w:lang w:val="sr-Cyrl-RS"/>
        </w:rPr>
        <w:t>**</w:t>
      </w:r>
      <w:r w:rsidRPr="00B03E47">
        <w:rPr>
          <w:rFonts w:ascii="Times New Roman" w:eastAsia="Times New Roman" w:hAnsi="Times New Roman" w:cs="Times New Roman"/>
          <w:lang w:val="sr-Cyrl-CS"/>
        </w:rPr>
        <w:t xml:space="preserve">У кућици означити начин достављања копије докумената. </w:t>
      </w:r>
    </w:p>
    <w:p w14:paraId="02435063" w14:textId="77777777" w:rsidR="00B03E47" w:rsidRPr="00B03E47" w:rsidRDefault="00B03E47" w:rsidP="00B03E47">
      <w:pPr>
        <w:spacing w:after="0" w:line="240" w:lineRule="auto"/>
        <w:ind w:right="150" w:hanging="227"/>
        <w:jc w:val="both"/>
        <w:rPr>
          <w:rFonts w:ascii="Times New Roman" w:eastAsia="Times New Roman" w:hAnsi="Times New Roman" w:cs="Times New Roman"/>
          <w:lang w:val="sr-Latn-CS"/>
        </w:rPr>
      </w:pPr>
      <w:r w:rsidRPr="00B03E47">
        <w:rPr>
          <w:rFonts w:ascii="Times New Roman" w:eastAsia="Times New Roman" w:hAnsi="Times New Roman" w:cs="Times New Roman"/>
          <w:lang w:val="sr-Cyrl-RS"/>
        </w:rPr>
        <w:t>*</w:t>
      </w:r>
      <w:r w:rsidRPr="00B03E47">
        <w:rPr>
          <w:rFonts w:ascii="Times New Roman" w:eastAsia="Times New Roman" w:hAnsi="Times New Roman" w:cs="Times New Roman"/>
        </w:rPr>
        <w:sym w:font="Symbol" w:char="F02A"/>
      </w:r>
      <w:r w:rsidRPr="00B03E47">
        <w:rPr>
          <w:rFonts w:ascii="Times New Roman" w:eastAsia="Times New Roman" w:hAnsi="Times New Roman" w:cs="Times New Roman"/>
        </w:rPr>
        <w:sym w:font="Symbol" w:char="F02A"/>
      </w:r>
      <w:r w:rsidRPr="00B03E47">
        <w:rPr>
          <w:rFonts w:ascii="Times New Roman" w:eastAsia="Times New Roman" w:hAnsi="Times New Roman" w:cs="Times New Roman"/>
          <w:lang w:val="sr-Cyrl-CS"/>
        </w:rPr>
        <w:t>Када захтевате други начин достављања обавезно уписати који начин достављања захтевате</w:t>
      </w:r>
      <w:r w:rsidRPr="00B03E47">
        <w:rPr>
          <w:rFonts w:ascii="Times New Roman" w:eastAsia="Times New Roman" w:hAnsi="Times New Roman" w:cs="Times New Roman"/>
          <w:lang w:val="sr-Latn-CS"/>
        </w:rPr>
        <w:t>.</w:t>
      </w:r>
      <w:r w:rsidRPr="00B03E47">
        <w:rPr>
          <w:rFonts w:ascii="Times New Roman" w:eastAsia="Times New Roman" w:hAnsi="Times New Roman" w:cs="Times New Roman"/>
          <w:lang w:val="sr-Latn-CS"/>
        </w:rPr>
        <w:br w:type="page"/>
      </w:r>
    </w:p>
    <w:p w14:paraId="6B6F8DE6" w14:textId="02355631" w:rsidR="00B03E47" w:rsidRPr="00E81605" w:rsidRDefault="00B03E47" w:rsidP="00E8160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E81605">
        <w:rPr>
          <w:rFonts w:ascii="Times New Roman" w:hAnsi="Times New Roman" w:cs="Times New Roman"/>
          <w:b/>
          <w:bCs/>
          <w:lang w:val="sr-Cyrl-CS"/>
        </w:rPr>
        <w:lastRenderedPageBreak/>
        <w:t>ЖАЛБА  ПРОТИВ  ОДЛУКЕ ОРГАНА  ВЛАСТИ КОЈОМ ЈЕ</w:t>
      </w:r>
    </w:p>
    <w:p w14:paraId="31A3A9A4" w14:textId="77777777" w:rsidR="00B03E47" w:rsidRPr="00E81605" w:rsidRDefault="00B03E47" w:rsidP="00E8160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E81605">
        <w:rPr>
          <w:rFonts w:ascii="Times New Roman" w:hAnsi="Times New Roman" w:cs="Times New Roman"/>
          <w:b/>
          <w:bCs/>
          <w:u w:val="single"/>
          <w:lang w:val="sr-Cyrl-CS"/>
        </w:rPr>
        <w:t>ОДБИЈЕН ИЛИ ОДБАЧЕН ЗАХТЕВ</w:t>
      </w:r>
      <w:r w:rsidRPr="00E81605">
        <w:rPr>
          <w:rFonts w:ascii="Times New Roman" w:hAnsi="Times New Roman" w:cs="Times New Roman"/>
          <w:b/>
          <w:bCs/>
          <w:lang w:val="sr-Cyrl-CS"/>
        </w:rPr>
        <w:t xml:space="preserve"> ЗА ПРИСТУП ИНФОРМАЦИЈИ</w:t>
      </w:r>
    </w:p>
    <w:p w14:paraId="6EAFD782" w14:textId="77777777" w:rsidR="00B03E47" w:rsidRPr="000321E9" w:rsidRDefault="00B03E47" w:rsidP="00E81605">
      <w:pPr>
        <w:rPr>
          <w:b/>
          <w:lang w:val="sr-Cyrl-CS"/>
        </w:rPr>
      </w:pPr>
    </w:p>
    <w:p w14:paraId="6AEB9BBF" w14:textId="77777777" w:rsidR="00B03E47" w:rsidRPr="000321E9" w:rsidRDefault="00B03E47" w:rsidP="00E81605">
      <w:pPr>
        <w:rPr>
          <w:b/>
        </w:rPr>
      </w:pPr>
    </w:p>
    <w:p w14:paraId="6BC2E299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321E9">
        <w:rPr>
          <w:rFonts w:ascii="Times New Roman" w:eastAsia="Times New Roman" w:hAnsi="Times New Roman" w:cs="Times New Roman"/>
          <w:b/>
        </w:rPr>
        <w:t>Повереник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информације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од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јавног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значаја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заштиту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података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личности</w:t>
      </w:r>
      <w:proofErr w:type="spellEnd"/>
    </w:p>
    <w:p w14:paraId="2E7BFD4C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Адреса за пошту: Београд, </w:t>
      </w:r>
      <w:r w:rsidRPr="000321E9">
        <w:rPr>
          <w:rFonts w:ascii="Times New Roman" w:eastAsia="Times New Roman" w:hAnsi="Times New Roman" w:cs="Times New Roman"/>
          <w:lang w:val="sr-Cyrl-RS"/>
        </w:rPr>
        <w:t>Булевар краља Александра бр. 15</w:t>
      </w:r>
    </w:p>
    <w:p w14:paraId="65B10DDF" w14:textId="77777777" w:rsidR="00B03E47" w:rsidRPr="000321E9" w:rsidRDefault="00B03E47" w:rsidP="00B03E4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6E05DE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0321E9">
        <w:rPr>
          <w:rFonts w:ascii="Times New Roman" w:eastAsia="Times New Roman" w:hAnsi="Times New Roman" w:cs="Times New Roman"/>
          <w:b/>
          <w:lang w:val="sr-Cyrl-CS"/>
        </w:rPr>
        <w:t xml:space="preserve">Ж А Л Б А </w:t>
      </w:r>
    </w:p>
    <w:p w14:paraId="1BE3F808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3AF1158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(............................................................................................................................</w:t>
      </w:r>
    </w:p>
    <w:p w14:paraId="3E39068E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....................................................................................................................)</w:t>
      </w:r>
    </w:p>
    <w:p w14:paraId="2CBD4829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sr-Cyrl-CS"/>
        </w:rPr>
      </w:pPr>
      <w:r w:rsidRPr="000321E9">
        <w:rPr>
          <w:rFonts w:ascii="Times New Roman" w:eastAsia="Times New Roman" w:hAnsi="Times New Roman" w:cs="Times New Roman"/>
          <w:i/>
          <w:lang w:val="sr-Latn-RS"/>
        </w:rPr>
        <w:t>(</w:t>
      </w:r>
      <w:r w:rsidRPr="000321E9">
        <w:rPr>
          <w:rFonts w:ascii="Times New Roman" w:eastAsia="Times New Roman" w:hAnsi="Times New Roman" w:cs="Times New Roman"/>
          <w:i/>
          <w:lang w:val="sr-Cyrl-CS"/>
        </w:rPr>
        <w:t>Име, презиме, односно назив, адреса и седиште жалиоца)</w:t>
      </w:r>
    </w:p>
    <w:p w14:paraId="748606D0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4C04310" w14:textId="77777777" w:rsidR="00B03E47" w:rsidRPr="000321E9" w:rsidRDefault="00B03E47" w:rsidP="00B03E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против решења-закључка (..............................................................................................................................................)</w:t>
      </w:r>
    </w:p>
    <w:p w14:paraId="6ED98D0F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i/>
          <w:lang w:val="sr-Cyrl-CS"/>
        </w:rPr>
        <w:t xml:space="preserve">                      (назив органа који је донео одлуку)</w:t>
      </w:r>
    </w:p>
    <w:p w14:paraId="2B0566E5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Број.................................... од ............................... године. </w:t>
      </w:r>
    </w:p>
    <w:p w14:paraId="09492F25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7A24AA6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Наведеном одлуком органа власти (решењем, закључком, обавештењем у писаној форми са елементима одлуке), супротно закону, одбијен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-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одбачен је мој захтев који сам поднео/ла-упутио/ла дана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.............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године и тако ми ускраћено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-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онемогућено остваривање  законског права на слободан приступ информацијама од јавног значаја. Одлуку побијам у целости, </w:t>
      </w:r>
      <w:r w:rsidRPr="000321E9">
        <w:rPr>
          <w:rFonts w:ascii="Times New Roman" w:eastAsia="Times New Roman" w:hAnsi="Times New Roman" w:cs="Times New Roman"/>
          <w:lang w:val="ru-RU"/>
        </w:rPr>
        <w:t>односно у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321E9">
        <w:rPr>
          <w:rFonts w:ascii="Times New Roman" w:eastAsia="Times New Roman" w:hAnsi="Times New Roman" w:cs="Times New Roman"/>
          <w:lang w:val="ru-RU"/>
        </w:rPr>
        <w:t>делу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321E9">
        <w:rPr>
          <w:rFonts w:ascii="Times New Roman" w:eastAsia="Times New Roman" w:hAnsi="Times New Roman" w:cs="Times New Roman"/>
          <w:lang w:val="ru-RU"/>
        </w:rPr>
        <w:t xml:space="preserve">којим </w:t>
      </w:r>
      <w:r w:rsidRPr="000321E9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</w:t>
      </w:r>
      <w:r w:rsidRPr="000321E9">
        <w:rPr>
          <w:rFonts w:ascii="Times New Roman" w:eastAsia="Times New Roman" w:hAnsi="Times New Roman" w:cs="Times New Roman"/>
          <w:lang w:val="sr-Latn-RS"/>
        </w:rPr>
        <w:t>.............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0816A297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14:paraId="67683DFD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На основу изнетих разлога, предлажем да Повереник уважи моју жалбу,  поништи одлуку првостепеног органа и омогући ми приступ траженој/им  информацији/ма.</w:t>
      </w:r>
    </w:p>
    <w:p w14:paraId="251F0986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Жалбу подносим благовремено, у законском року утврђеном у члану 22. став 1. Закона о слободном приступу информацијама од јавног значаја.</w:t>
      </w:r>
    </w:p>
    <w:p w14:paraId="32BD21C3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1CC505A4" w14:textId="77777777" w:rsidR="00B03E47" w:rsidRPr="000321E9" w:rsidRDefault="00B03E47" w:rsidP="00B03E47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              ...................................................................</w:t>
      </w:r>
    </w:p>
    <w:p w14:paraId="4D762936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  Подносилац жалбе / Име и презиме</w:t>
      </w:r>
    </w:p>
    <w:p w14:paraId="4917E524" w14:textId="77777777" w:rsidR="00B03E47" w:rsidRPr="000321E9" w:rsidRDefault="00B03E47" w:rsidP="00B03E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  <w:t xml:space="preserve">               </w:t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                             ....................................................................</w:t>
      </w:r>
    </w:p>
    <w:p w14:paraId="34BE7ED4" w14:textId="77777777" w:rsidR="00B03E47" w:rsidRPr="000321E9" w:rsidRDefault="00B03E47" w:rsidP="00B03E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адреса</w:t>
      </w:r>
    </w:p>
    <w:p w14:paraId="0B146250" w14:textId="77777777" w:rsidR="00B03E47" w:rsidRPr="000321E9" w:rsidRDefault="00B03E47" w:rsidP="00B03E47">
      <w:pPr>
        <w:spacing w:after="0" w:line="240" w:lineRule="auto"/>
        <w:ind w:left="1200" w:hanging="774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У...............</w:t>
      </w:r>
      <w:r w:rsidRPr="000321E9">
        <w:rPr>
          <w:rFonts w:ascii="Times New Roman" w:eastAsia="Times New Roman" w:hAnsi="Times New Roman" w:cs="Times New Roman"/>
          <w:lang w:val="sr-Latn-RS"/>
        </w:rPr>
        <w:t>..</w:t>
      </w:r>
      <w:r w:rsidRPr="000321E9">
        <w:rPr>
          <w:rFonts w:ascii="Times New Roman" w:eastAsia="Times New Roman" w:hAnsi="Times New Roman" w:cs="Times New Roman"/>
          <w:lang w:val="sr-Cyrl-CS"/>
        </w:rPr>
        <w:t>.........,</w:t>
      </w:r>
    </w:p>
    <w:p w14:paraId="280C3BA1" w14:textId="77777777" w:rsidR="00B03E47" w:rsidRPr="000321E9" w:rsidRDefault="00B03E47" w:rsidP="00B03E47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дана ............20</w:t>
      </w:r>
      <w:r w:rsidRPr="000321E9">
        <w:rPr>
          <w:rFonts w:ascii="Times New Roman" w:eastAsia="Times New Roman" w:hAnsi="Times New Roman" w:cs="Times New Roman"/>
          <w:lang w:val="sr-Latn-RS"/>
        </w:rPr>
        <w:t>...</w:t>
      </w:r>
      <w:r w:rsidRPr="000321E9">
        <w:rPr>
          <w:rFonts w:ascii="Times New Roman" w:eastAsia="Times New Roman" w:hAnsi="Times New Roman" w:cs="Times New Roman"/>
          <w:lang w:val="sr-Cyrl-CS"/>
        </w:rPr>
        <w:t>.. године                                     ....................................................................</w:t>
      </w:r>
    </w:p>
    <w:p w14:paraId="78585B8A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          други подаци за контакт</w:t>
      </w:r>
    </w:p>
    <w:p w14:paraId="70BCA4FB" w14:textId="77777777" w:rsidR="00B03E47" w:rsidRPr="000321E9" w:rsidRDefault="00B03E47" w:rsidP="00B03E47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</w:p>
    <w:p w14:paraId="10122819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….................................................................                                                           </w:t>
      </w:r>
      <w:proofErr w:type="spellStart"/>
      <w:r w:rsidRPr="000321E9">
        <w:rPr>
          <w:rFonts w:ascii="Times New Roman" w:eastAsia="Times New Roman" w:hAnsi="Times New Roman" w:cs="Times New Roman"/>
        </w:rPr>
        <w:t>потпис</w:t>
      </w:r>
      <w:proofErr w:type="spellEnd"/>
    </w:p>
    <w:p w14:paraId="239904C0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Напомена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: </w:t>
      </w:r>
    </w:p>
    <w:p w14:paraId="40580008" w14:textId="77777777" w:rsidR="00B03E47" w:rsidRPr="000321E9" w:rsidRDefault="00B03E47" w:rsidP="00B03E47">
      <w:pPr>
        <w:numPr>
          <w:ilvl w:val="0"/>
          <w:numId w:val="22"/>
        </w:numPr>
        <w:spacing w:after="0" w:line="240" w:lineRule="auto"/>
        <w:ind w:right="150"/>
        <w:contextualSpacing/>
        <w:jc w:val="both"/>
        <w:rPr>
          <w:rFonts w:ascii="Times New Roman" w:eastAsia="Calibri" w:hAnsi="Times New Roman" w:cs="Times New Roman"/>
          <w:lang w:val="sr-Latn-RS"/>
        </w:rPr>
      </w:pPr>
      <w:r w:rsidRPr="000321E9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0321E9">
        <w:rPr>
          <w:rFonts w:ascii="Times New Roman" w:eastAsia="Times New Roman" w:hAnsi="Times New Roman" w:cs="Times New Roman"/>
        </w:rPr>
        <w:t>жалби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се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мора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навести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која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се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побија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321E9">
        <w:rPr>
          <w:rFonts w:ascii="Times New Roman" w:eastAsia="Times New Roman" w:hAnsi="Times New Roman" w:cs="Times New Roman"/>
        </w:rPr>
        <w:t>решење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закључак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обавештење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0321E9">
        <w:rPr>
          <w:rFonts w:ascii="Times New Roman" w:eastAsia="Times New Roman" w:hAnsi="Times New Roman" w:cs="Times New Roman"/>
        </w:rPr>
        <w:t>назив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органа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који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донео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као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</w:rPr>
        <w:t>број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</w:rPr>
        <w:t>датум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321E9">
        <w:rPr>
          <w:rFonts w:ascii="Times New Roman" w:eastAsia="Times New Roman" w:hAnsi="Times New Roman" w:cs="Times New Roman"/>
        </w:rPr>
        <w:t>Довољно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да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жалилац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наведе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321E9">
        <w:rPr>
          <w:rFonts w:ascii="Times New Roman" w:eastAsia="Times New Roman" w:hAnsi="Times New Roman" w:cs="Times New Roman"/>
        </w:rPr>
        <w:t>жалби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321E9">
        <w:rPr>
          <w:rFonts w:ascii="Times New Roman" w:eastAsia="Times New Roman" w:hAnsi="Times New Roman" w:cs="Times New Roman"/>
        </w:rPr>
        <w:t>ком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погледу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незадовољан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0321E9">
        <w:rPr>
          <w:rFonts w:ascii="Times New Roman" w:eastAsia="Times New Roman" w:hAnsi="Times New Roman" w:cs="Times New Roman"/>
        </w:rPr>
        <w:t>тим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да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жалбу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мора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посебно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образложити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321E9">
        <w:rPr>
          <w:rFonts w:ascii="Times New Roman" w:eastAsia="Times New Roman" w:hAnsi="Times New Roman" w:cs="Times New Roman"/>
        </w:rPr>
        <w:t>Ако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жалбу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изјављује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овом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обрасцу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додатно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образложење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321E9">
        <w:rPr>
          <w:rFonts w:ascii="Times New Roman" w:eastAsia="Times New Roman" w:hAnsi="Times New Roman" w:cs="Times New Roman"/>
        </w:rPr>
        <w:t>може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321E9">
        <w:rPr>
          <w:rFonts w:ascii="Times New Roman" w:eastAsia="Times New Roman" w:hAnsi="Times New Roman" w:cs="Times New Roman"/>
        </w:rPr>
        <w:t>посебно</w:t>
      </w:r>
      <w:proofErr w:type="spellEnd"/>
      <w:proofErr w:type="gram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приложити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. </w:t>
      </w:r>
    </w:p>
    <w:p w14:paraId="0B061B49" w14:textId="77777777" w:rsidR="00B03E47" w:rsidRPr="00B03E47" w:rsidRDefault="00B03E47" w:rsidP="00B03E47">
      <w:pPr>
        <w:numPr>
          <w:ilvl w:val="0"/>
          <w:numId w:val="22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  <w:lang w:val="sr-Cyrl-RS"/>
        </w:rPr>
        <w:t>Уз жалбу обавезно приложити копију поднетог захтева и доказ о његовој предаји-упућивању органу, као и копију одлуке органа која се оспорава жалбом.</w:t>
      </w:r>
      <w:r w:rsidRPr="00B03E47">
        <w:rPr>
          <w:rFonts w:ascii="Times New Roman" w:eastAsia="Times New Roman" w:hAnsi="Times New Roman" w:cs="Times New Roman"/>
          <w:lang w:val="sr-Cyrl-RS"/>
        </w:rPr>
        <w:br w:type="page"/>
      </w:r>
    </w:p>
    <w:p w14:paraId="045173F9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sr-Latn-RS"/>
        </w:rPr>
      </w:pPr>
    </w:p>
    <w:p w14:paraId="43DAD0A1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</w:rPr>
        <w:t xml:space="preserve">ЖАЛБА КАДА ОРГАН ВЛАСТИ </w:t>
      </w:r>
      <w:r w:rsidRPr="000321E9">
        <w:rPr>
          <w:rFonts w:ascii="Times New Roman" w:eastAsia="Times New Roman" w:hAnsi="Times New Roman" w:cs="Times New Roman"/>
          <w:b/>
          <w:u w:val="single"/>
        </w:rPr>
        <w:t xml:space="preserve">НИЈЕ ПОСТУПИО/ </w:t>
      </w:r>
      <w:proofErr w:type="spellStart"/>
      <w:r w:rsidRPr="000321E9">
        <w:rPr>
          <w:rFonts w:ascii="Times New Roman" w:eastAsia="Times New Roman" w:hAnsi="Times New Roman" w:cs="Times New Roman"/>
          <w:b/>
          <w:u w:val="single"/>
        </w:rPr>
        <w:t>није</w:t>
      </w:r>
      <w:proofErr w:type="spellEnd"/>
      <w:r w:rsidRPr="000321E9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  <w:u w:val="single"/>
        </w:rPr>
        <w:t>поступио</w:t>
      </w:r>
      <w:proofErr w:type="spellEnd"/>
      <w:r w:rsidRPr="000321E9">
        <w:rPr>
          <w:rFonts w:ascii="Times New Roman" w:eastAsia="Times New Roman" w:hAnsi="Times New Roman" w:cs="Times New Roman"/>
          <w:b/>
          <w:u w:val="single"/>
        </w:rPr>
        <w:t xml:space="preserve"> у </w:t>
      </w:r>
      <w:proofErr w:type="spellStart"/>
      <w:r w:rsidRPr="000321E9">
        <w:rPr>
          <w:rFonts w:ascii="Times New Roman" w:eastAsia="Times New Roman" w:hAnsi="Times New Roman" w:cs="Times New Roman"/>
          <w:b/>
          <w:u w:val="single"/>
        </w:rPr>
        <w:t>целости</w:t>
      </w:r>
      <w:proofErr w:type="spellEnd"/>
      <w:r w:rsidRPr="000321E9">
        <w:rPr>
          <w:rFonts w:ascii="Times New Roman" w:eastAsia="Times New Roman" w:hAnsi="Times New Roman" w:cs="Times New Roman"/>
          <w:b/>
          <w:u w:val="single"/>
        </w:rPr>
        <w:t>/ ПО ЗАХТЕВУ</w:t>
      </w:r>
      <w:r w:rsidRPr="000321E9">
        <w:rPr>
          <w:rFonts w:ascii="Times New Roman" w:eastAsia="Times New Roman" w:hAnsi="Times New Roman" w:cs="Times New Roman"/>
          <w:b/>
        </w:rPr>
        <w:t xml:space="preserve"> ТРАЖИОЦА У </w:t>
      </w:r>
      <w:proofErr w:type="gramStart"/>
      <w:r w:rsidRPr="000321E9">
        <w:rPr>
          <w:rFonts w:ascii="Times New Roman" w:eastAsia="Times New Roman" w:hAnsi="Times New Roman" w:cs="Times New Roman"/>
          <w:b/>
        </w:rPr>
        <w:t>ЗАКОНСКОМ  РОКУ</w:t>
      </w:r>
      <w:proofErr w:type="gramEnd"/>
      <w:r w:rsidRPr="000321E9">
        <w:rPr>
          <w:rFonts w:ascii="Times New Roman" w:eastAsia="Times New Roman" w:hAnsi="Times New Roman" w:cs="Times New Roman"/>
          <w:b/>
        </w:rPr>
        <w:t xml:space="preserve">  (ЋУТАЊЕ УПРАВЕ)</w:t>
      </w:r>
    </w:p>
    <w:p w14:paraId="3C827AAB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                 </w:t>
      </w:r>
    </w:p>
    <w:p w14:paraId="74A8C537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Повереник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информације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од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јавног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значаја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заштиту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података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личности</w:t>
      </w:r>
      <w:proofErr w:type="spellEnd"/>
    </w:p>
    <w:p w14:paraId="09A2B9AF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Адреса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за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пошту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:  </w:t>
      </w:r>
      <w:proofErr w:type="spellStart"/>
      <w:r w:rsidRPr="000321E9">
        <w:rPr>
          <w:rFonts w:ascii="Times New Roman" w:eastAsia="Times New Roman" w:hAnsi="Times New Roman" w:cs="Times New Roman"/>
        </w:rPr>
        <w:t>Београд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sr-Cyrl-RS"/>
        </w:rPr>
        <w:t>Булевар краља Александра бр. 15</w:t>
      </w:r>
    </w:p>
    <w:p w14:paraId="42BA14DD" w14:textId="77777777" w:rsidR="00B03E47" w:rsidRPr="000321E9" w:rsidRDefault="00B03E47" w:rsidP="00B03E4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</w:rPr>
      </w:pPr>
    </w:p>
    <w:p w14:paraId="77BF3527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0321E9">
        <w:rPr>
          <w:rFonts w:ascii="Times New Roman" w:eastAsia="Times New Roman" w:hAnsi="Times New Roman" w:cs="Times New Roman"/>
        </w:rPr>
        <w:t>складу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са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чланом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22. </w:t>
      </w:r>
      <w:proofErr w:type="spellStart"/>
      <w:r w:rsidRPr="000321E9">
        <w:rPr>
          <w:rFonts w:ascii="Times New Roman" w:eastAsia="Times New Roman" w:hAnsi="Times New Roman" w:cs="Times New Roman"/>
        </w:rPr>
        <w:t>Закона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321E9">
        <w:rPr>
          <w:rFonts w:ascii="Times New Roman" w:eastAsia="Times New Roman" w:hAnsi="Times New Roman" w:cs="Times New Roman"/>
        </w:rPr>
        <w:t>слободном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приступу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информацијама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јавног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значаја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подносим</w:t>
      </w:r>
      <w:proofErr w:type="spellEnd"/>
      <w:r w:rsidRPr="000321E9">
        <w:rPr>
          <w:rFonts w:ascii="Times New Roman" w:eastAsia="Times New Roman" w:hAnsi="Times New Roman" w:cs="Times New Roman"/>
        </w:rPr>
        <w:t>:</w:t>
      </w:r>
    </w:p>
    <w:p w14:paraId="7D671552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6A9EA3D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  <w:lang w:val="it-IT"/>
        </w:rPr>
        <w:t>Ж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А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Л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Б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У</w:t>
      </w:r>
    </w:p>
    <w:p w14:paraId="6F8C2550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против</w:t>
      </w:r>
    </w:p>
    <w:p w14:paraId="6E805157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4BBD6A5F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14:paraId="3CA68A6A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321E9">
        <w:rPr>
          <w:rFonts w:ascii="Times New Roman" w:eastAsia="Times New Roman" w:hAnsi="Times New Roman" w:cs="Times New Roman"/>
          <w:i/>
        </w:rPr>
        <w:t xml:space="preserve"> (</w:t>
      </w:r>
      <w:r w:rsidRPr="000321E9">
        <w:rPr>
          <w:rFonts w:ascii="Times New Roman" w:eastAsia="Times New Roman" w:hAnsi="Times New Roman" w:cs="Times New Roman"/>
          <w:i/>
          <w:lang w:val="it-IT"/>
        </w:rPr>
        <w:t>навести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назив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органа</w:t>
      </w:r>
      <w:r w:rsidRPr="000321E9">
        <w:rPr>
          <w:rFonts w:ascii="Times New Roman" w:eastAsia="Times New Roman" w:hAnsi="Times New Roman" w:cs="Times New Roman"/>
          <w:i/>
        </w:rPr>
        <w:t>)</w:t>
      </w:r>
    </w:p>
    <w:p w14:paraId="5C18DE6C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119ADE0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због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тога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што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власти</w:t>
      </w:r>
      <w:r w:rsidRPr="000321E9">
        <w:rPr>
          <w:rFonts w:ascii="Times New Roman" w:eastAsia="Times New Roman" w:hAnsi="Times New Roman" w:cs="Times New Roman"/>
        </w:rPr>
        <w:t xml:space="preserve">: </w:t>
      </w:r>
    </w:p>
    <w:p w14:paraId="11303FA6" w14:textId="77777777" w:rsidR="00B03E47" w:rsidRPr="000321E9" w:rsidRDefault="00B03E47" w:rsidP="00B03E47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  <w:lang w:val="it-IT"/>
        </w:rPr>
        <w:t>није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поступио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</w:rPr>
        <w:t xml:space="preserve">/ </w:t>
      </w:r>
      <w:r w:rsidRPr="000321E9">
        <w:rPr>
          <w:rFonts w:ascii="Times New Roman" w:eastAsia="Times New Roman" w:hAnsi="Times New Roman" w:cs="Times New Roman"/>
          <w:b/>
          <w:lang w:val="it-IT"/>
        </w:rPr>
        <w:t>није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поступио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у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целости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</w:rPr>
        <w:t xml:space="preserve">/  </w:t>
      </w:r>
      <w:r w:rsidRPr="000321E9">
        <w:rPr>
          <w:rFonts w:ascii="Times New Roman" w:eastAsia="Times New Roman" w:hAnsi="Times New Roman" w:cs="Times New Roman"/>
          <w:b/>
          <w:lang w:val="it-IT"/>
        </w:rPr>
        <w:t>у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законском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року</w:t>
      </w:r>
    </w:p>
    <w:p w14:paraId="03066B8C" w14:textId="77777777" w:rsidR="00B03E47" w:rsidRPr="000321E9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 w:rsidRPr="000321E9">
        <w:rPr>
          <w:rFonts w:ascii="Times New Roman" w:eastAsia="Times New Roman" w:hAnsi="Times New Roman" w:cs="Times New Roman"/>
          <w:i/>
        </w:rPr>
        <w:t xml:space="preserve">                                  (</w:t>
      </w:r>
      <w:proofErr w:type="gramStart"/>
      <w:r w:rsidRPr="000321E9">
        <w:rPr>
          <w:rFonts w:ascii="Times New Roman" w:eastAsia="Times New Roman" w:hAnsi="Times New Roman" w:cs="Times New Roman"/>
          <w:i/>
          <w:lang w:val="it-IT"/>
        </w:rPr>
        <w:t>подвући</w:t>
      </w:r>
      <w:r w:rsidRPr="000321E9">
        <w:rPr>
          <w:rFonts w:ascii="Times New Roman" w:eastAsia="Times New Roman" w:hAnsi="Times New Roman" w:cs="Times New Roman"/>
          <w:i/>
        </w:rPr>
        <w:t xml:space="preserve">  </w:t>
      </w:r>
      <w:r w:rsidRPr="000321E9">
        <w:rPr>
          <w:rFonts w:ascii="Times New Roman" w:eastAsia="Times New Roman" w:hAnsi="Times New Roman" w:cs="Times New Roman"/>
          <w:i/>
          <w:lang w:val="it-IT"/>
        </w:rPr>
        <w:t>због</w:t>
      </w:r>
      <w:proofErr w:type="gramEnd"/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чега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се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изјављује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жалба</w:t>
      </w:r>
      <w:r w:rsidRPr="000321E9">
        <w:rPr>
          <w:rFonts w:ascii="Times New Roman" w:eastAsia="Times New Roman" w:hAnsi="Times New Roman" w:cs="Times New Roman"/>
          <w:i/>
        </w:rPr>
        <w:t>)</w:t>
      </w:r>
    </w:p>
    <w:p w14:paraId="28587BBB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58F6C4E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по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захтеву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за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слободан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приступ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информацијама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од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јавног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значаја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који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поднео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том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дана</w:t>
      </w:r>
      <w:r w:rsidRPr="000321E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321E9">
        <w:rPr>
          <w:rFonts w:ascii="Times New Roman" w:eastAsia="Times New Roman" w:hAnsi="Times New Roman" w:cs="Times New Roman"/>
        </w:rPr>
        <w:t xml:space="preserve">….................... </w:t>
      </w:r>
      <w:r w:rsidRPr="000321E9">
        <w:rPr>
          <w:rFonts w:ascii="Times New Roman" w:eastAsia="Times New Roman" w:hAnsi="Times New Roman" w:cs="Times New Roman"/>
          <w:lang w:val="it-IT"/>
        </w:rPr>
        <w:t>године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којим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тражио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ла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се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складу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Законом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слободном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приступу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информацијама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од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јавног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значаја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омогући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 xml:space="preserve">увид </w:t>
      </w:r>
      <w:r w:rsidRPr="000321E9">
        <w:rPr>
          <w:rFonts w:ascii="Times New Roman" w:eastAsia="Times New Roman" w:hAnsi="Times New Roman" w:cs="Times New Roman"/>
        </w:rPr>
        <w:t xml:space="preserve">- </w:t>
      </w:r>
      <w:r w:rsidRPr="000321E9">
        <w:rPr>
          <w:rFonts w:ascii="Times New Roman" w:eastAsia="Times New Roman" w:hAnsi="Times New Roman" w:cs="Times New Roman"/>
          <w:lang w:val="it-IT"/>
        </w:rPr>
        <w:t>копија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документа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који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садржи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информације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о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вези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</w:t>
      </w:r>
      <w:r w:rsidRPr="000321E9">
        <w:rPr>
          <w:rFonts w:ascii="Times New Roman" w:eastAsia="Times New Roman" w:hAnsi="Times New Roman" w:cs="Times New Roman"/>
        </w:rPr>
        <w:t xml:space="preserve"> :</w:t>
      </w:r>
    </w:p>
    <w:p w14:paraId="4A3AE618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509A06ED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400894A1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243AB8DC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321E9">
        <w:rPr>
          <w:rFonts w:ascii="Times New Roman" w:eastAsia="Times New Roman" w:hAnsi="Times New Roman" w:cs="Times New Roman"/>
        </w:rPr>
        <w:t xml:space="preserve">                                   </w:t>
      </w:r>
      <w:r w:rsidRPr="000321E9">
        <w:rPr>
          <w:rFonts w:ascii="Times New Roman" w:eastAsia="Times New Roman" w:hAnsi="Times New Roman" w:cs="Times New Roman"/>
          <w:i/>
        </w:rPr>
        <w:t>(</w:t>
      </w:r>
      <w:r w:rsidRPr="000321E9">
        <w:rPr>
          <w:rFonts w:ascii="Times New Roman" w:eastAsia="Times New Roman" w:hAnsi="Times New Roman" w:cs="Times New Roman"/>
          <w:i/>
          <w:lang w:val="it-IT"/>
        </w:rPr>
        <w:t>навести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податке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о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захтеву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информацији</w:t>
      </w:r>
      <w:r w:rsidRPr="000321E9">
        <w:rPr>
          <w:rFonts w:ascii="Times New Roman" w:eastAsia="Times New Roman" w:hAnsi="Times New Roman" w:cs="Times New Roman"/>
          <w:i/>
        </w:rPr>
        <w:t>/</w:t>
      </w:r>
      <w:r w:rsidRPr="000321E9">
        <w:rPr>
          <w:rFonts w:ascii="Times New Roman" w:eastAsia="Times New Roman" w:hAnsi="Times New Roman" w:cs="Times New Roman"/>
          <w:i/>
          <w:lang w:val="it-IT"/>
        </w:rPr>
        <w:t>ама</w:t>
      </w:r>
      <w:r w:rsidRPr="000321E9">
        <w:rPr>
          <w:rFonts w:ascii="Times New Roman" w:eastAsia="Times New Roman" w:hAnsi="Times New Roman" w:cs="Times New Roman"/>
          <w:i/>
        </w:rPr>
        <w:t>)</w:t>
      </w:r>
    </w:p>
    <w:p w14:paraId="7BD297A0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FCECF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На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основу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изнетог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предлажем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Повереник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уважи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моју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омогући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приступ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траженој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им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информацији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ма</w:t>
      </w:r>
      <w:r w:rsidRPr="000321E9">
        <w:rPr>
          <w:rFonts w:ascii="Times New Roman" w:eastAsia="Times New Roman" w:hAnsi="Times New Roman" w:cs="Times New Roman"/>
        </w:rPr>
        <w:t>.</w:t>
      </w:r>
    </w:p>
    <w:p w14:paraId="4E7DB470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Као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доказ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уз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достављам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копију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захтева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доказом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предаји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власти</w:t>
      </w:r>
      <w:r w:rsidRPr="000321E9">
        <w:rPr>
          <w:rFonts w:ascii="Times New Roman" w:eastAsia="Times New Roman" w:hAnsi="Times New Roman" w:cs="Times New Roman"/>
        </w:rPr>
        <w:t>.</w:t>
      </w:r>
    </w:p>
    <w:p w14:paraId="47801357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        </w:t>
      </w:r>
    </w:p>
    <w:p w14:paraId="1772C49A" w14:textId="77777777" w:rsidR="00B03E47" w:rsidRPr="000321E9" w:rsidRDefault="00B03E47" w:rsidP="00B03E4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        .............................................................</w:t>
      </w:r>
    </w:p>
    <w:p w14:paraId="28ED132D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it-IT"/>
        </w:rPr>
      </w:pPr>
      <w:r w:rsidRPr="000321E9">
        <w:rPr>
          <w:rFonts w:ascii="Times New Roman" w:eastAsia="Times New Roman" w:hAnsi="Times New Roman" w:cs="Times New Roman"/>
          <w:lang w:val="it-IT"/>
        </w:rPr>
        <w:t>Подносилац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жалбе</w:t>
      </w:r>
      <w:r w:rsidRPr="000321E9">
        <w:rPr>
          <w:rFonts w:ascii="Times New Roman" w:eastAsia="Times New Roman" w:hAnsi="Times New Roman" w:cs="Times New Roman"/>
        </w:rPr>
        <w:t xml:space="preserve"> / </w:t>
      </w:r>
      <w:r w:rsidRPr="000321E9">
        <w:rPr>
          <w:rFonts w:ascii="Times New Roman" w:eastAsia="Times New Roman" w:hAnsi="Times New Roman" w:cs="Times New Roman"/>
          <w:lang w:val="it-IT"/>
        </w:rPr>
        <w:t>Име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презиме</w:t>
      </w:r>
    </w:p>
    <w:p w14:paraId="2A0566E9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</w:p>
    <w:p w14:paraId="2C49D003" w14:textId="77777777" w:rsidR="00B03E47" w:rsidRPr="000321E9" w:rsidRDefault="00B03E47" w:rsidP="00B03E47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>..............................................................                                                 адреса</w:t>
      </w:r>
    </w:p>
    <w:p w14:paraId="26BDD4FD" w14:textId="77777777" w:rsidR="00B03E47" w:rsidRPr="000321E9" w:rsidRDefault="00B03E47" w:rsidP="00B03E47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 xml:space="preserve">                                           </w:t>
      </w:r>
    </w:p>
    <w:p w14:paraId="5BA0B5D7" w14:textId="77777777" w:rsidR="00B03E47" w:rsidRPr="000321E9" w:rsidRDefault="00B03E47" w:rsidP="00B03E47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>..............................................................                                                           други подаци за контакт</w:t>
      </w:r>
    </w:p>
    <w:p w14:paraId="3F6CE155" w14:textId="77777777" w:rsidR="00B03E47" w:rsidRPr="000321E9" w:rsidRDefault="00B03E47" w:rsidP="00B03E47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ab/>
      </w:r>
      <w:r w:rsidRPr="000321E9">
        <w:rPr>
          <w:rFonts w:ascii="Times New Roman" w:eastAsia="Times New Roman" w:hAnsi="Times New Roman" w:cs="Times New Roman"/>
          <w:lang w:val="de-DE"/>
        </w:rPr>
        <w:tab/>
        <w:t xml:space="preserve"> </w:t>
      </w:r>
      <w:r w:rsidRPr="000321E9">
        <w:rPr>
          <w:rFonts w:ascii="Times New Roman" w:eastAsia="Times New Roman" w:hAnsi="Times New Roman" w:cs="Times New Roman"/>
          <w:lang w:val="sr-Cyrl-RS"/>
        </w:rPr>
        <w:t xml:space="preserve">       </w:t>
      </w:r>
      <w:r w:rsidRPr="000321E9">
        <w:rPr>
          <w:rFonts w:ascii="Times New Roman" w:eastAsia="Times New Roman" w:hAnsi="Times New Roman" w:cs="Times New Roman"/>
          <w:lang w:val="sr-Latn-RS"/>
        </w:rPr>
        <w:t>..</w:t>
      </w:r>
      <w:r w:rsidRPr="000321E9">
        <w:rPr>
          <w:rFonts w:ascii="Times New Roman" w:eastAsia="Times New Roman" w:hAnsi="Times New Roman" w:cs="Times New Roman"/>
          <w:lang w:val="de-DE"/>
        </w:rPr>
        <w:t>............................................................</w:t>
      </w:r>
    </w:p>
    <w:p w14:paraId="4F0D46C1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sr-Cyrl-RS"/>
        </w:rPr>
        <w:t>п</w:t>
      </w:r>
      <w:r w:rsidRPr="000321E9">
        <w:rPr>
          <w:rFonts w:ascii="Times New Roman" w:eastAsia="Times New Roman" w:hAnsi="Times New Roman" w:cs="Times New Roman"/>
          <w:lang w:val="de-DE"/>
        </w:rPr>
        <w:t>отпис</w:t>
      </w:r>
    </w:p>
    <w:p w14:paraId="4B6041E3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</w:rPr>
        <w:t xml:space="preserve">У................................., </w:t>
      </w:r>
    </w:p>
    <w:p w14:paraId="46CC9142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321E9">
        <w:rPr>
          <w:rFonts w:ascii="Times New Roman" w:eastAsia="Times New Roman" w:hAnsi="Times New Roman" w:cs="Times New Roman"/>
        </w:rPr>
        <w:t>дана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............ 20....</w:t>
      </w:r>
      <w:proofErr w:type="spellStart"/>
      <w:r w:rsidRPr="000321E9">
        <w:rPr>
          <w:rFonts w:ascii="Times New Roman" w:eastAsia="Times New Roman" w:hAnsi="Times New Roman" w:cs="Times New Roman"/>
        </w:rPr>
        <w:t>године</w:t>
      </w:r>
      <w:proofErr w:type="spellEnd"/>
    </w:p>
    <w:p w14:paraId="30ED6B1E" w14:textId="77777777" w:rsidR="00B03E47" w:rsidRPr="000321E9" w:rsidRDefault="00B03E47" w:rsidP="00B03E47">
      <w:pPr>
        <w:spacing w:after="0" w:line="240" w:lineRule="auto"/>
        <w:jc w:val="both"/>
        <w:rPr>
          <w:rFonts w:ascii="TimesNewRomanPSMT" w:eastAsia="Times New Roman" w:hAnsi="TimesNewRomanPSMT" w:cs="TimesNewRomanPSMT"/>
          <w:lang w:val="sr-Cyrl-RS" w:eastAsia="sr-Cyrl-CS"/>
        </w:rPr>
      </w:pPr>
    </w:p>
    <w:p w14:paraId="1F332515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b/>
          <w:lang w:val="it-IT"/>
        </w:rPr>
        <w:t>Напомена</w:t>
      </w:r>
      <w:r w:rsidRPr="000321E9">
        <w:rPr>
          <w:rFonts w:ascii="Times New Roman" w:eastAsia="Times New Roman" w:hAnsi="Times New Roman" w:cs="Times New Roman"/>
          <w:b/>
        </w:rPr>
        <w:t>: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Код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жалбе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због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непоступањ</w:t>
      </w:r>
      <w:r w:rsidRPr="000321E9">
        <w:rPr>
          <w:rFonts w:ascii="Times New Roman" w:eastAsia="Times New Roman" w:hAnsi="Times New Roman" w:cs="Times New Roman"/>
          <w:lang w:val="sr-Cyrl-RS"/>
        </w:rPr>
        <w:t>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захтеву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целости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треба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приложити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добијени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одговор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власти</w:t>
      </w:r>
      <w:r w:rsidRPr="000321E9">
        <w:rPr>
          <w:rFonts w:ascii="Times New Roman" w:eastAsia="Times New Roman" w:hAnsi="Times New Roman" w:cs="Times New Roman"/>
        </w:rPr>
        <w:t>.</w:t>
      </w:r>
    </w:p>
    <w:p w14:paraId="08225F8A" w14:textId="77777777" w:rsidR="00B03E47" w:rsidRDefault="00B03E47"/>
    <w:sectPr w:rsidR="00B03E47" w:rsidSect="00B03E47">
      <w:footerReference w:type="default" r:id="rId20"/>
      <w:pgSz w:w="11906" w:h="16838" w:code="9"/>
      <w:pgMar w:top="993" w:right="1183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2F01" w14:textId="77777777" w:rsidR="008812E0" w:rsidRDefault="008812E0" w:rsidP="003E6947">
      <w:pPr>
        <w:spacing w:after="0" w:line="240" w:lineRule="auto"/>
      </w:pPr>
      <w:r>
        <w:separator/>
      </w:r>
    </w:p>
  </w:endnote>
  <w:endnote w:type="continuationSeparator" w:id="0">
    <w:p w14:paraId="632EAE26" w14:textId="77777777" w:rsidR="008812E0" w:rsidRDefault="008812E0" w:rsidP="003E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ira-sans-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531" w14:textId="77777777" w:rsidR="00F73436" w:rsidRPr="00B93F9D" w:rsidRDefault="00F73436" w:rsidP="00B03E47">
    <w:pPr>
      <w:ind w:right="260"/>
      <w:rPr>
        <w:i/>
        <w:color w:val="0F243E"/>
        <w:sz w:val="20"/>
        <w:szCs w:val="20"/>
      </w:rPr>
    </w:pPr>
    <w:r>
      <w:rPr>
        <w:i/>
        <w:color w:val="0F243E"/>
        <w:sz w:val="20"/>
        <w:szCs w:val="20"/>
      </w:rPr>
      <w:t>__________________________________________________________________________________________</w:t>
    </w:r>
  </w:p>
  <w:p w14:paraId="088B6A8D" w14:textId="51CDEF32" w:rsidR="00F73436" w:rsidRPr="00B93F9D" w:rsidRDefault="00F73436" w:rsidP="00B03E47">
    <w:pPr>
      <w:ind w:right="260"/>
      <w:rPr>
        <w:i/>
        <w:color w:val="0F243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94CF0" wp14:editId="210969B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285" cy="281305"/>
              <wp:effectExtent l="0" t="0" r="317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29FCE9" w14:textId="77777777" w:rsidR="00F73436" w:rsidRPr="00F11FBF" w:rsidRDefault="00F73436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55C84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26</w:t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2F94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7pt;margin-top:782.95pt;width:29.5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" stroked="f">
              <v:textbox style="mso-fit-shape-to-text:t" inset="0,,0">
                <w:txbxContent>
                  <w:p w14:paraId="0129FCE9" w14:textId="77777777" w:rsidR="00F73436" w:rsidRPr="00F11FBF" w:rsidRDefault="00F73436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55C84">
                      <w:rPr>
                        <w:noProof/>
                        <w:color w:val="0F243E"/>
                        <w:sz w:val="26"/>
                        <w:szCs w:val="26"/>
                      </w:rPr>
                      <w:t>26</w:t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Pr="000D29EC">
      <w:rPr>
        <w:i/>
        <w:color w:val="0F243E"/>
        <w:sz w:val="20"/>
        <w:szCs w:val="20"/>
      </w:rPr>
      <w:t>Управ</w:t>
    </w:r>
    <w:r>
      <w:rPr>
        <w:i/>
        <w:color w:val="0F243E"/>
        <w:sz w:val="20"/>
        <w:szCs w:val="20"/>
      </w:rPr>
      <w:t>a</w:t>
    </w:r>
    <w:proofErr w:type="spellEnd"/>
    <w:r w:rsidRPr="000D29EC">
      <w:rPr>
        <w:i/>
        <w:color w:val="0F243E"/>
        <w:sz w:val="20"/>
        <w:szCs w:val="20"/>
      </w:rPr>
      <w:t xml:space="preserve"> </w:t>
    </w:r>
    <w:proofErr w:type="spellStart"/>
    <w:r w:rsidRPr="000D29EC">
      <w:rPr>
        <w:i/>
        <w:color w:val="0F243E"/>
        <w:sz w:val="20"/>
        <w:szCs w:val="20"/>
      </w:rPr>
      <w:t>за</w:t>
    </w:r>
    <w:proofErr w:type="spellEnd"/>
    <w:r w:rsidRPr="000D29EC">
      <w:rPr>
        <w:i/>
        <w:color w:val="0F243E"/>
        <w:sz w:val="20"/>
        <w:szCs w:val="20"/>
      </w:rPr>
      <w:t xml:space="preserve"> </w:t>
    </w:r>
    <w:proofErr w:type="spellStart"/>
    <w:r w:rsidRPr="000D29EC">
      <w:rPr>
        <w:i/>
        <w:color w:val="0F243E"/>
        <w:sz w:val="20"/>
        <w:szCs w:val="20"/>
      </w:rPr>
      <w:t>игре</w:t>
    </w:r>
    <w:proofErr w:type="spellEnd"/>
    <w:r w:rsidRPr="000D29EC">
      <w:rPr>
        <w:i/>
        <w:color w:val="0F243E"/>
        <w:sz w:val="20"/>
        <w:szCs w:val="20"/>
      </w:rPr>
      <w:t xml:space="preserve"> </w:t>
    </w:r>
    <w:proofErr w:type="spellStart"/>
    <w:r w:rsidRPr="000D29EC">
      <w:rPr>
        <w:i/>
        <w:color w:val="0F243E"/>
        <w:sz w:val="20"/>
        <w:szCs w:val="20"/>
      </w:rPr>
      <w:t>на</w:t>
    </w:r>
    <w:proofErr w:type="spellEnd"/>
    <w:r w:rsidRPr="000D29EC">
      <w:rPr>
        <w:i/>
        <w:color w:val="0F243E"/>
        <w:sz w:val="20"/>
        <w:szCs w:val="20"/>
      </w:rPr>
      <w:t xml:space="preserve"> </w:t>
    </w:r>
    <w:proofErr w:type="spellStart"/>
    <w:r w:rsidRPr="000D29EC">
      <w:rPr>
        <w:i/>
        <w:color w:val="0F243E"/>
        <w:sz w:val="20"/>
        <w:szCs w:val="20"/>
      </w:rPr>
      <w:t>срећу</w:t>
    </w:r>
    <w:proofErr w:type="spellEnd"/>
    <w:r>
      <w:rPr>
        <w:i/>
        <w:color w:val="0F243E"/>
        <w:sz w:val="20"/>
        <w:szCs w:val="20"/>
      </w:rPr>
      <w:t xml:space="preserve"> / </w:t>
    </w:r>
    <w:proofErr w:type="spellStart"/>
    <w:r w:rsidRPr="000D29EC">
      <w:rPr>
        <w:i/>
        <w:color w:val="0F243E"/>
        <w:sz w:val="20"/>
        <w:szCs w:val="20"/>
      </w:rPr>
      <w:t>Информатор</w:t>
    </w:r>
    <w:proofErr w:type="spellEnd"/>
    <w:r w:rsidRPr="000D29EC">
      <w:rPr>
        <w:i/>
        <w:color w:val="0F243E"/>
        <w:sz w:val="20"/>
        <w:szCs w:val="20"/>
      </w:rPr>
      <w:t xml:space="preserve"> о </w:t>
    </w:r>
    <w:proofErr w:type="spellStart"/>
    <w:r w:rsidRPr="000D29EC">
      <w:rPr>
        <w:i/>
        <w:color w:val="0F243E"/>
        <w:sz w:val="20"/>
        <w:szCs w:val="20"/>
      </w:rPr>
      <w:t>раду</w:t>
    </w:r>
    <w:proofErr w:type="spellEnd"/>
    <w:r>
      <w:rPr>
        <w:i/>
        <w:color w:val="0F243E"/>
        <w:sz w:val="20"/>
        <w:szCs w:val="20"/>
      </w:rPr>
      <w:t xml:space="preserve"> – </w:t>
    </w:r>
    <w:proofErr w:type="spellStart"/>
    <w:r>
      <w:rPr>
        <w:i/>
        <w:color w:val="0F243E"/>
        <w:sz w:val="20"/>
        <w:szCs w:val="20"/>
      </w:rPr>
      <w:t>aжуриран</w:t>
    </w:r>
    <w:proofErr w:type="spellEnd"/>
    <w:r>
      <w:rPr>
        <w:i/>
        <w:color w:val="0F243E"/>
        <w:sz w:val="20"/>
        <w:szCs w:val="20"/>
      </w:rPr>
      <w:t xml:space="preserve"> </w:t>
    </w:r>
    <w:r>
      <w:rPr>
        <w:i/>
        <w:color w:val="0F243E"/>
        <w:sz w:val="20"/>
        <w:szCs w:val="20"/>
        <w:lang w:val="sr-Cyrl-RS"/>
      </w:rPr>
      <w:t>1</w:t>
    </w:r>
    <w:r>
      <w:rPr>
        <w:i/>
        <w:color w:val="0F243E"/>
        <w:sz w:val="20"/>
        <w:szCs w:val="20"/>
        <w:lang w:val="sr-Latn-RS"/>
      </w:rPr>
      <w:t>5</w:t>
    </w:r>
    <w:r>
      <w:rPr>
        <w:i/>
        <w:color w:val="0F243E"/>
        <w:sz w:val="20"/>
        <w:szCs w:val="20"/>
      </w:rPr>
      <w:t>.</w:t>
    </w:r>
    <w:r>
      <w:rPr>
        <w:i/>
        <w:color w:val="0F243E"/>
        <w:sz w:val="20"/>
        <w:szCs w:val="20"/>
        <w:lang w:val="sr-Cyrl-RS"/>
      </w:rPr>
      <w:t>11</w:t>
    </w:r>
    <w:r>
      <w:rPr>
        <w:i/>
        <w:color w:val="0F243E"/>
        <w:sz w:val="20"/>
        <w:szCs w:val="20"/>
      </w:rPr>
      <w:t>.</w:t>
    </w:r>
    <w:r w:rsidRPr="000D29EC">
      <w:rPr>
        <w:i/>
        <w:color w:val="0F243E"/>
        <w:sz w:val="20"/>
        <w:szCs w:val="20"/>
      </w:rPr>
      <w:t>20</w:t>
    </w:r>
    <w:r>
      <w:rPr>
        <w:i/>
        <w:color w:val="0F243E"/>
        <w:sz w:val="20"/>
        <w:szCs w:val="20"/>
      </w:rPr>
      <w:t>2</w:t>
    </w:r>
    <w:r>
      <w:rPr>
        <w:i/>
        <w:color w:val="0F243E"/>
        <w:sz w:val="20"/>
        <w:szCs w:val="20"/>
        <w:lang w:val="sr-Cyrl-RS"/>
      </w:rPr>
      <w:t>1</w:t>
    </w:r>
    <w:r w:rsidRPr="000D29EC">
      <w:rPr>
        <w:i/>
        <w:color w:val="0F243E"/>
        <w:sz w:val="20"/>
        <w:szCs w:val="20"/>
      </w:rPr>
      <w:t>.</w:t>
    </w:r>
    <w:proofErr w:type="spellStart"/>
    <w:r w:rsidRPr="000D29EC">
      <w:rPr>
        <w:i/>
        <w:color w:val="0F243E"/>
        <w:sz w:val="20"/>
        <w:szCs w:val="20"/>
      </w:rPr>
      <w:t>године</w:t>
    </w:r>
    <w:proofErr w:type="spellEnd"/>
  </w:p>
  <w:p w14:paraId="67835D37" w14:textId="77777777" w:rsidR="00F73436" w:rsidRPr="00B93F9D" w:rsidRDefault="00F73436" w:rsidP="00B03E47">
    <w:pPr>
      <w:ind w:right="260"/>
      <w:rPr>
        <w:i/>
        <w:color w:val="0F243E"/>
        <w:sz w:val="20"/>
        <w:szCs w:val="20"/>
      </w:rPr>
    </w:pPr>
  </w:p>
  <w:p w14:paraId="359BF773" w14:textId="77777777" w:rsidR="00F73436" w:rsidRDefault="00F7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7CC2" w14:textId="77777777" w:rsidR="008812E0" w:rsidRDefault="008812E0" w:rsidP="003E6947">
      <w:pPr>
        <w:spacing w:after="0" w:line="240" w:lineRule="auto"/>
      </w:pPr>
      <w:r>
        <w:separator/>
      </w:r>
    </w:p>
  </w:footnote>
  <w:footnote w:type="continuationSeparator" w:id="0">
    <w:p w14:paraId="1257EBF0" w14:textId="77777777" w:rsidR="008812E0" w:rsidRDefault="008812E0" w:rsidP="003E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216"/>
    <w:multiLevelType w:val="hybridMultilevel"/>
    <w:tmpl w:val="135AE846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EB5A92"/>
    <w:multiLevelType w:val="hybridMultilevel"/>
    <w:tmpl w:val="9CD88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565"/>
    <w:multiLevelType w:val="multilevel"/>
    <w:tmpl w:val="B9D0D52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eastAsia="Calibri" w:hAnsi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Calibri" w:hAnsi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Calibri" w:hAnsi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Calibri" w:hAnsi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Calibri" w:hAnsi="Times New Roman" w:hint="default"/>
        <w:b/>
        <w:color w:val="auto"/>
      </w:rPr>
    </w:lvl>
  </w:abstractNum>
  <w:abstractNum w:abstractNumId="3" w15:restartNumberingAfterBreak="0">
    <w:nsid w:val="0CEF6988"/>
    <w:multiLevelType w:val="multilevel"/>
    <w:tmpl w:val="87BCE18A"/>
    <w:lvl w:ilvl="0">
      <w:start w:val="2"/>
      <w:numFmt w:val="decimal"/>
      <w:lvlText w:val="%1"/>
      <w:lvlJc w:val="left"/>
      <w:pPr>
        <w:ind w:left="660" w:hanging="660"/>
      </w:pPr>
      <w:rPr>
        <w:rFonts w:ascii="Times New Roman" w:eastAsia="Calibri" w:hAnsi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Times New Roman" w:eastAsia="Calibri" w:hAnsi="Times New Roman"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hint="default"/>
        <w:b/>
        <w:color w:val="auto"/>
      </w:rPr>
    </w:lvl>
  </w:abstractNum>
  <w:abstractNum w:abstractNumId="4" w15:restartNumberingAfterBreak="0">
    <w:nsid w:val="0D2E3EF3"/>
    <w:multiLevelType w:val="hybridMultilevel"/>
    <w:tmpl w:val="750A91F4"/>
    <w:lvl w:ilvl="0" w:tplc="141CD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145B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5D22B6"/>
    <w:multiLevelType w:val="hybridMultilevel"/>
    <w:tmpl w:val="9F96E9A8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0595CC4"/>
    <w:multiLevelType w:val="hybridMultilevel"/>
    <w:tmpl w:val="0EE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04760"/>
    <w:multiLevelType w:val="hybridMultilevel"/>
    <w:tmpl w:val="BC7C69AA"/>
    <w:lvl w:ilvl="0" w:tplc="20A4A8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814"/>
    <w:multiLevelType w:val="hybridMultilevel"/>
    <w:tmpl w:val="86084498"/>
    <w:lvl w:ilvl="0" w:tplc="AF3E5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770C"/>
    <w:multiLevelType w:val="hybridMultilevel"/>
    <w:tmpl w:val="1F62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C36D9"/>
    <w:multiLevelType w:val="hybridMultilevel"/>
    <w:tmpl w:val="917CCFAA"/>
    <w:lvl w:ilvl="0" w:tplc="F2A412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93E76"/>
    <w:multiLevelType w:val="hybridMultilevel"/>
    <w:tmpl w:val="A2284BE0"/>
    <w:lvl w:ilvl="0" w:tplc="2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1115"/>
    <w:multiLevelType w:val="hybridMultilevel"/>
    <w:tmpl w:val="AAA4E870"/>
    <w:lvl w:ilvl="0" w:tplc="9CE6A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45AA7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0BB6DF7"/>
    <w:multiLevelType w:val="hybridMultilevel"/>
    <w:tmpl w:val="DA209D8E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1EC1AD0"/>
    <w:multiLevelType w:val="hybridMultilevel"/>
    <w:tmpl w:val="A2BC95BA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067184"/>
    <w:multiLevelType w:val="hybridMultilevel"/>
    <w:tmpl w:val="149E4C0C"/>
    <w:lvl w:ilvl="0" w:tplc="81E834F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2ABE092F"/>
    <w:multiLevelType w:val="hybridMultilevel"/>
    <w:tmpl w:val="AE12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78CE"/>
    <w:multiLevelType w:val="hybridMultilevel"/>
    <w:tmpl w:val="86607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776B9"/>
    <w:multiLevelType w:val="multilevel"/>
    <w:tmpl w:val="B9D0D52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eastAsia="Calibri" w:hAnsi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Calibri" w:hAnsi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Calibri" w:hAnsi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Calibri" w:hAnsi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Calibri" w:hAnsi="Times New Roman" w:hint="default"/>
        <w:b/>
        <w:color w:val="auto"/>
      </w:rPr>
    </w:lvl>
  </w:abstractNum>
  <w:abstractNum w:abstractNumId="22" w15:restartNumberingAfterBreak="0">
    <w:nsid w:val="3446127C"/>
    <w:multiLevelType w:val="hybridMultilevel"/>
    <w:tmpl w:val="2F76417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6E07906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88E522A"/>
    <w:multiLevelType w:val="multilevel"/>
    <w:tmpl w:val="24C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A69DC"/>
    <w:multiLevelType w:val="hybridMultilevel"/>
    <w:tmpl w:val="B4FEE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177134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68F12C0"/>
    <w:multiLevelType w:val="hybridMultilevel"/>
    <w:tmpl w:val="F078C72C"/>
    <w:lvl w:ilvl="0" w:tplc="2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45DC9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9EF0FEE"/>
    <w:multiLevelType w:val="hybridMultilevel"/>
    <w:tmpl w:val="12CA3F7A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4DE17E64"/>
    <w:multiLevelType w:val="hybridMultilevel"/>
    <w:tmpl w:val="BD669066"/>
    <w:lvl w:ilvl="0" w:tplc="0A5834E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EAB3183"/>
    <w:multiLevelType w:val="hybridMultilevel"/>
    <w:tmpl w:val="2E64FBF6"/>
    <w:lvl w:ilvl="0" w:tplc="5420C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107C0D"/>
    <w:multiLevelType w:val="hybridMultilevel"/>
    <w:tmpl w:val="F2124358"/>
    <w:lvl w:ilvl="0" w:tplc="FD544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5491"/>
    <w:multiLevelType w:val="hybridMultilevel"/>
    <w:tmpl w:val="7678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A3683"/>
    <w:multiLevelType w:val="hybridMultilevel"/>
    <w:tmpl w:val="6B9CD234"/>
    <w:lvl w:ilvl="0" w:tplc="C6CC3A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881FA5"/>
    <w:multiLevelType w:val="hybridMultilevel"/>
    <w:tmpl w:val="D26E5F1E"/>
    <w:lvl w:ilvl="0" w:tplc="767C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4DB7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B600816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931747"/>
    <w:multiLevelType w:val="hybridMultilevel"/>
    <w:tmpl w:val="8CA03CD2"/>
    <w:lvl w:ilvl="0" w:tplc="A2D07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17976"/>
    <w:multiLevelType w:val="multilevel"/>
    <w:tmpl w:val="24C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7377E"/>
    <w:multiLevelType w:val="hybridMultilevel"/>
    <w:tmpl w:val="1012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5714C"/>
    <w:multiLevelType w:val="multilevel"/>
    <w:tmpl w:val="60BC8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7473B7A"/>
    <w:multiLevelType w:val="hybridMultilevel"/>
    <w:tmpl w:val="0B0637E8"/>
    <w:lvl w:ilvl="0" w:tplc="3B3E158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5110"/>
    <w:multiLevelType w:val="hybridMultilevel"/>
    <w:tmpl w:val="24982680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A06C5C"/>
    <w:multiLevelType w:val="hybridMultilevel"/>
    <w:tmpl w:val="1626FF48"/>
    <w:lvl w:ilvl="0" w:tplc="9CF053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19"/>
  </w:num>
  <w:num w:numId="6">
    <w:abstractNumId w:val="35"/>
  </w:num>
  <w:num w:numId="7">
    <w:abstractNumId w:val="25"/>
  </w:num>
  <w:num w:numId="8">
    <w:abstractNumId w:val="40"/>
  </w:num>
  <w:num w:numId="9">
    <w:abstractNumId w:val="22"/>
  </w:num>
  <w:num w:numId="10">
    <w:abstractNumId w:val="28"/>
  </w:num>
  <w:num w:numId="11">
    <w:abstractNumId w:val="23"/>
  </w:num>
  <w:num w:numId="12">
    <w:abstractNumId w:val="34"/>
  </w:num>
  <w:num w:numId="13">
    <w:abstractNumId w:val="30"/>
  </w:num>
  <w:num w:numId="14">
    <w:abstractNumId w:val="20"/>
  </w:num>
  <w:num w:numId="15">
    <w:abstractNumId w:val="7"/>
  </w:num>
  <w:num w:numId="16">
    <w:abstractNumId w:val="13"/>
  </w:num>
  <w:num w:numId="17">
    <w:abstractNumId w:val="9"/>
  </w:num>
  <w:num w:numId="18">
    <w:abstractNumId w:val="37"/>
  </w:num>
  <w:num w:numId="19">
    <w:abstractNumId w:val="0"/>
  </w:num>
  <w:num w:numId="20">
    <w:abstractNumId w:val="1"/>
  </w:num>
  <w:num w:numId="21">
    <w:abstractNumId w:val="4"/>
  </w:num>
  <w:num w:numId="22">
    <w:abstractNumId w:val="29"/>
  </w:num>
  <w:num w:numId="23">
    <w:abstractNumId w:val="32"/>
  </w:num>
  <w:num w:numId="24">
    <w:abstractNumId w:val="18"/>
  </w:num>
  <w:num w:numId="25">
    <w:abstractNumId w:val="33"/>
  </w:num>
  <w:num w:numId="26">
    <w:abstractNumId w:val="10"/>
  </w:num>
  <w:num w:numId="27">
    <w:abstractNumId w:val="24"/>
  </w:num>
  <w:num w:numId="28">
    <w:abstractNumId w:val="43"/>
  </w:num>
  <w:num w:numId="29">
    <w:abstractNumId w:val="38"/>
  </w:num>
  <w:num w:numId="30">
    <w:abstractNumId w:val="39"/>
  </w:num>
  <w:num w:numId="31">
    <w:abstractNumId w:val="41"/>
  </w:num>
  <w:num w:numId="32">
    <w:abstractNumId w:val="12"/>
  </w:num>
  <w:num w:numId="33">
    <w:abstractNumId w:val="11"/>
  </w:num>
  <w:num w:numId="34">
    <w:abstractNumId w:val="42"/>
  </w:num>
  <w:num w:numId="35">
    <w:abstractNumId w:val="31"/>
  </w:num>
  <w:num w:numId="36">
    <w:abstractNumId w:val="36"/>
  </w:num>
  <w:num w:numId="37">
    <w:abstractNumId w:val="6"/>
  </w:num>
  <w:num w:numId="38">
    <w:abstractNumId w:val="27"/>
  </w:num>
  <w:num w:numId="39">
    <w:abstractNumId w:val="44"/>
  </w:num>
  <w:num w:numId="40">
    <w:abstractNumId w:val="16"/>
  </w:num>
  <w:num w:numId="41">
    <w:abstractNumId w:val="15"/>
  </w:num>
  <w:num w:numId="42">
    <w:abstractNumId w:val="21"/>
  </w:num>
  <w:num w:numId="43">
    <w:abstractNumId w:val="26"/>
  </w:num>
  <w:num w:numId="44">
    <w:abstractNumId w:val="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7D"/>
    <w:rsid w:val="0000252F"/>
    <w:rsid w:val="00013387"/>
    <w:rsid w:val="000321E9"/>
    <w:rsid w:val="00045B51"/>
    <w:rsid w:val="000574C6"/>
    <w:rsid w:val="00057B81"/>
    <w:rsid w:val="0006170A"/>
    <w:rsid w:val="00092B22"/>
    <w:rsid w:val="000B0DFA"/>
    <w:rsid w:val="000B26F9"/>
    <w:rsid w:val="000D2B47"/>
    <w:rsid w:val="00114099"/>
    <w:rsid w:val="00133FF0"/>
    <w:rsid w:val="001609A4"/>
    <w:rsid w:val="001865F1"/>
    <w:rsid w:val="001E7593"/>
    <w:rsid w:val="001F0842"/>
    <w:rsid w:val="00236F4B"/>
    <w:rsid w:val="00253EA3"/>
    <w:rsid w:val="0026550C"/>
    <w:rsid w:val="0027689B"/>
    <w:rsid w:val="00286A82"/>
    <w:rsid w:val="002B4478"/>
    <w:rsid w:val="002D0537"/>
    <w:rsid w:val="002D44CA"/>
    <w:rsid w:val="00327268"/>
    <w:rsid w:val="00334F48"/>
    <w:rsid w:val="00344724"/>
    <w:rsid w:val="003A58C7"/>
    <w:rsid w:val="003D6238"/>
    <w:rsid w:val="003E6947"/>
    <w:rsid w:val="0043082F"/>
    <w:rsid w:val="00442EDA"/>
    <w:rsid w:val="00452D0D"/>
    <w:rsid w:val="00465F02"/>
    <w:rsid w:val="004C3340"/>
    <w:rsid w:val="004C524D"/>
    <w:rsid w:val="004D0155"/>
    <w:rsid w:val="004D136B"/>
    <w:rsid w:val="004E7B32"/>
    <w:rsid w:val="005040EE"/>
    <w:rsid w:val="005239CB"/>
    <w:rsid w:val="005447B8"/>
    <w:rsid w:val="005522C8"/>
    <w:rsid w:val="00553382"/>
    <w:rsid w:val="00554F2B"/>
    <w:rsid w:val="005617FA"/>
    <w:rsid w:val="00564425"/>
    <w:rsid w:val="00575DA8"/>
    <w:rsid w:val="005B18C1"/>
    <w:rsid w:val="005C5825"/>
    <w:rsid w:val="005C6C20"/>
    <w:rsid w:val="005D2ABE"/>
    <w:rsid w:val="005E0B9F"/>
    <w:rsid w:val="005E40F6"/>
    <w:rsid w:val="005F4AC0"/>
    <w:rsid w:val="0061253E"/>
    <w:rsid w:val="00614870"/>
    <w:rsid w:val="006410D6"/>
    <w:rsid w:val="0064439E"/>
    <w:rsid w:val="00653546"/>
    <w:rsid w:val="006578D7"/>
    <w:rsid w:val="00667A76"/>
    <w:rsid w:val="00667EE4"/>
    <w:rsid w:val="00675F6A"/>
    <w:rsid w:val="006E3A97"/>
    <w:rsid w:val="006F566A"/>
    <w:rsid w:val="00705ADD"/>
    <w:rsid w:val="007235B4"/>
    <w:rsid w:val="00775BBD"/>
    <w:rsid w:val="007A4876"/>
    <w:rsid w:val="007E109B"/>
    <w:rsid w:val="00847CF3"/>
    <w:rsid w:val="0085339A"/>
    <w:rsid w:val="008656A3"/>
    <w:rsid w:val="008812E0"/>
    <w:rsid w:val="00884901"/>
    <w:rsid w:val="008A777B"/>
    <w:rsid w:val="008B1AC3"/>
    <w:rsid w:val="008C2097"/>
    <w:rsid w:val="008E796E"/>
    <w:rsid w:val="008E7CB1"/>
    <w:rsid w:val="008F3CAC"/>
    <w:rsid w:val="00902815"/>
    <w:rsid w:val="00904ECF"/>
    <w:rsid w:val="00910D75"/>
    <w:rsid w:val="00911B69"/>
    <w:rsid w:val="00914801"/>
    <w:rsid w:val="00921CFB"/>
    <w:rsid w:val="0097483D"/>
    <w:rsid w:val="00990E80"/>
    <w:rsid w:val="009A3835"/>
    <w:rsid w:val="009B5241"/>
    <w:rsid w:val="009C0603"/>
    <w:rsid w:val="009C06B8"/>
    <w:rsid w:val="009C1EB2"/>
    <w:rsid w:val="009D0256"/>
    <w:rsid w:val="00A06C43"/>
    <w:rsid w:val="00A108CF"/>
    <w:rsid w:val="00A12E30"/>
    <w:rsid w:val="00A15348"/>
    <w:rsid w:val="00A226FE"/>
    <w:rsid w:val="00A303F3"/>
    <w:rsid w:val="00A3262C"/>
    <w:rsid w:val="00A33955"/>
    <w:rsid w:val="00A63F7D"/>
    <w:rsid w:val="00A654CD"/>
    <w:rsid w:val="00A70A3F"/>
    <w:rsid w:val="00A734A0"/>
    <w:rsid w:val="00A83750"/>
    <w:rsid w:val="00AA73D9"/>
    <w:rsid w:val="00AA7EA6"/>
    <w:rsid w:val="00AC0E85"/>
    <w:rsid w:val="00AC58D1"/>
    <w:rsid w:val="00AE23D4"/>
    <w:rsid w:val="00AF475A"/>
    <w:rsid w:val="00B03E47"/>
    <w:rsid w:val="00B07702"/>
    <w:rsid w:val="00B166B4"/>
    <w:rsid w:val="00B32302"/>
    <w:rsid w:val="00B64A1F"/>
    <w:rsid w:val="00B90885"/>
    <w:rsid w:val="00BB0962"/>
    <w:rsid w:val="00BB3D76"/>
    <w:rsid w:val="00BC30D4"/>
    <w:rsid w:val="00BF5428"/>
    <w:rsid w:val="00C0065C"/>
    <w:rsid w:val="00C153CA"/>
    <w:rsid w:val="00C215D6"/>
    <w:rsid w:val="00C469BE"/>
    <w:rsid w:val="00C5123B"/>
    <w:rsid w:val="00C55C84"/>
    <w:rsid w:val="00C56D27"/>
    <w:rsid w:val="00C63841"/>
    <w:rsid w:val="00C67D97"/>
    <w:rsid w:val="00C7479B"/>
    <w:rsid w:val="00C93F48"/>
    <w:rsid w:val="00C96BB8"/>
    <w:rsid w:val="00CE0E59"/>
    <w:rsid w:val="00D06E34"/>
    <w:rsid w:val="00D15298"/>
    <w:rsid w:val="00D37B8A"/>
    <w:rsid w:val="00DB21C5"/>
    <w:rsid w:val="00DD51F0"/>
    <w:rsid w:val="00DD587D"/>
    <w:rsid w:val="00DF7BB4"/>
    <w:rsid w:val="00E015E6"/>
    <w:rsid w:val="00E033E0"/>
    <w:rsid w:val="00E35F9B"/>
    <w:rsid w:val="00E36486"/>
    <w:rsid w:val="00E40D4D"/>
    <w:rsid w:val="00E470F5"/>
    <w:rsid w:val="00E47740"/>
    <w:rsid w:val="00E55734"/>
    <w:rsid w:val="00E75608"/>
    <w:rsid w:val="00E814C7"/>
    <w:rsid w:val="00E81605"/>
    <w:rsid w:val="00E90029"/>
    <w:rsid w:val="00E91017"/>
    <w:rsid w:val="00EC0513"/>
    <w:rsid w:val="00EC1812"/>
    <w:rsid w:val="00ED0874"/>
    <w:rsid w:val="00ED1D76"/>
    <w:rsid w:val="00EF0EC6"/>
    <w:rsid w:val="00F10510"/>
    <w:rsid w:val="00F13163"/>
    <w:rsid w:val="00F21399"/>
    <w:rsid w:val="00F2411E"/>
    <w:rsid w:val="00F2731D"/>
    <w:rsid w:val="00F3034E"/>
    <w:rsid w:val="00F336CA"/>
    <w:rsid w:val="00F654D2"/>
    <w:rsid w:val="00F73436"/>
    <w:rsid w:val="00F90D4A"/>
    <w:rsid w:val="00FA4E16"/>
    <w:rsid w:val="00FB1BED"/>
    <w:rsid w:val="00FB3800"/>
    <w:rsid w:val="00FE305F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D54D0"/>
  <w15:docId w15:val="{F3DBB565-A29F-4A78-B114-45740D4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3E47"/>
  </w:style>
  <w:style w:type="paragraph" w:styleId="Header">
    <w:name w:val="header"/>
    <w:basedOn w:val="Normal"/>
    <w:link w:val="HeaderChar"/>
    <w:uiPriority w:val="99"/>
    <w:unhideWhenUsed/>
    <w:rsid w:val="00B03E4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E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4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E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0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3E47"/>
    <w:rPr>
      <w:color w:val="0000FF"/>
      <w:u w:val="single"/>
    </w:rPr>
  </w:style>
  <w:style w:type="paragraph" w:styleId="NoSpacing">
    <w:name w:val="No Spacing"/>
    <w:uiPriority w:val="1"/>
    <w:qFormat/>
    <w:rsid w:val="00B0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B03E47"/>
    <w:rPr>
      <w:color w:val="000000"/>
      <w:sz w:val="22"/>
      <w:szCs w:val="22"/>
    </w:rPr>
  </w:style>
  <w:style w:type="paragraph" w:customStyle="1" w:styleId="rvps1">
    <w:name w:val="rvps1"/>
    <w:basedOn w:val="Normal"/>
    <w:uiPriority w:val="99"/>
    <w:rsid w:val="00B0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B03E47"/>
    <w:rPr>
      <w:b w:val="0"/>
      <w:b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E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03E4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E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4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B03E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03E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57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6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eonora.sindjelic@uis.gov.rs" TargetMode="External"/><Relationship Id="rId18" Type="http://schemas.openxmlformats.org/officeDocument/2006/relationships/hyperlink" Target="mailto:igre.na.srecu@uis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1111111.vsdx"/><Relationship Id="rId17" Type="http://schemas.openxmlformats.org/officeDocument/2006/relationships/hyperlink" Target="mailto:igre.na.srecu@uis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.bozovic@ui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dragana.stankovic@uis.gov.rs" TargetMode="External"/><Relationship Id="rId10" Type="http://schemas.openxmlformats.org/officeDocument/2006/relationships/hyperlink" Target="http://www.uis.gov.rs" TargetMode="External"/><Relationship Id="rId19" Type="http://schemas.openxmlformats.org/officeDocument/2006/relationships/hyperlink" Target="mailto:office@poverenik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zana.sekularac@uis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98EA-146B-4675-AFC0-0ED661E5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11628</Words>
  <Characters>66280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 uis</cp:lastModifiedBy>
  <cp:revision>2</cp:revision>
  <cp:lastPrinted>2021-12-17T13:01:00Z</cp:lastPrinted>
  <dcterms:created xsi:type="dcterms:W3CDTF">2021-12-24T14:15:00Z</dcterms:created>
  <dcterms:modified xsi:type="dcterms:W3CDTF">2021-12-24T14:15:00Z</dcterms:modified>
</cp:coreProperties>
</file>